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B4F0D" w14:textId="13CD7CB6" w:rsidR="00EC7F67" w:rsidRDefault="00EB2A71" w:rsidP="00BA37C9">
      <w:pPr>
        <w:shd w:val="clear" w:color="auto" w:fill="FFFFFF"/>
        <w:spacing w:after="0" w:line="240" w:lineRule="auto"/>
        <w:jc w:val="both"/>
        <w:rPr>
          <w:rFonts w:ascii="Arial" w:eastAsia="Times New Roman" w:hAnsi="Arial" w:cs="Arial"/>
          <w:color w:val="0F1115"/>
          <w:kern w:val="36"/>
          <w:sz w:val="20"/>
          <w:szCs w:val="20"/>
          <w:lang w:eastAsia="en-GB"/>
          <w14:ligatures w14:val="none"/>
        </w:rPr>
      </w:pPr>
      <w:r w:rsidRPr="001239BE">
        <w:rPr>
          <w:noProof/>
        </w:rPr>
        <w:drawing>
          <wp:inline distT="0" distB="0" distL="0" distR="0" wp14:anchorId="4D36188D" wp14:editId="2210A13F">
            <wp:extent cx="5731510" cy="248285"/>
            <wp:effectExtent l="0" t="0" r="2540" b="0"/>
            <wp:docPr id="16574783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48285"/>
                    </a:xfrm>
                    <a:prstGeom prst="rect">
                      <a:avLst/>
                    </a:prstGeom>
                    <a:noFill/>
                  </pic:spPr>
                </pic:pic>
              </a:graphicData>
            </a:graphic>
          </wp:inline>
        </w:drawing>
      </w:r>
    </w:p>
    <w:p w14:paraId="58AE8B3A" w14:textId="70CCD37A" w:rsidR="00D73BFC" w:rsidRPr="00A256B2" w:rsidRDefault="00D73BFC" w:rsidP="00A256B2">
      <w:pPr>
        <w:shd w:val="clear" w:color="auto" w:fill="FFFFFF"/>
        <w:spacing w:after="0" w:line="240" w:lineRule="auto"/>
        <w:rPr>
          <w:rFonts w:ascii="Arial" w:eastAsia="Times New Roman" w:hAnsi="Arial" w:cs="Arial"/>
          <w:color w:val="0F1115"/>
          <w:kern w:val="36"/>
          <w:sz w:val="44"/>
          <w:szCs w:val="44"/>
          <w:lang w:eastAsia="en-GB"/>
          <w14:ligatures w14:val="none"/>
        </w:rPr>
      </w:pPr>
      <w:r w:rsidRPr="00A256B2">
        <w:rPr>
          <w:rFonts w:ascii="Arial" w:eastAsia="Times New Roman" w:hAnsi="Arial" w:cs="Arial"/>
          <w:color w:val="0F1115"/>
          <w:kern w:val="36"/>
          <w:sz w:val="44"/>
          <w:szCs w:val="44"/>
          <w:lang w:eastAsia="en-GB"/>
          <w14:ligatures w14:val="none"/>
        </w:rPr>
        <w:t xml:space="preserve">Comparative </w:t>
      </w:r>
      <w:r w:rsidR="00EB2A71">
        <w:rPr>
          <w:rFonts w:ascii="Arial" w:eastAsia="Times New Roman" w:hAnsi="Arial" w:cs="Arial"/>
          <w:color w:val="0F1115"/>
          <w:kern w:val="36"/>
          <w:sz w:val="44"/>
          <w:szCs w:val="44"/>
          <w:lang w:eastAsia="en-GB"/>
          <w14:ligatures w14:val="none"/>
        </w:rPr>
        <w:t>d</w:t>
      </w:r>
      <w:r w:rsidRPr="00A256B2">
        <w:rPr>
          <w:rFonts w:ascii="Arial" w:eastAsia="Times New Roman" w:hAnsi="Arial" w:cs="Arial"/>
          <w:color w:val="0F1115"/>
          <w:kern w:val="36"/>
          <w:sz w:val="44"/>
          <w:szCs w:val="44"/>
          <w:lang w:eastAsia="en-GB"/>
          <w14:ligatures w14:val="none"/>
        </w:rPr>
        <w:t xml:space="preserve">iagnostic and </w:t>
      </w:r>
      <w:r w:rsidR="00EB2A71">
        <w:rPr>
          <w:rFonts w:ascii="Arial" w:eastAsia="Times New Roman" w:hAnsi="Arial" w:cs="Arial"/>
          <w:color w:val="0F1115"/>
          <w:kern w:val="36"/>
          <w:sz w:val="44"/>
          <w:szCs w:val="44"/>
          <w:lang w:eastAsia="en-GB"/>
          <w14:ligatures w14:val="none"/>
        </w:rPr>
        <w:t>p</w:t>
      </w:r>
      <w:r w:rsidRPr="00A256B2">
        <w:rPr>
          <w:rFonts w:ascii="Arial" w:eastAsia="Times New Roman" w:hAnsi="Arial" w:cs="Arial"/>
          <w:color w:val="0F1115"/>
          <w:kern w:val="36"/>
          <w:sz w:val="44"/>
          <w:szCs w:val="44"/>
          <w:lang w:eastAsia="en-GB"/>
          <w14:ligatures w14:val="none"/>
        </w:rPr>
        <w:t xml:space="preserve">redictive </w:t>
      </w:r>
      <w:r w:rsidR="00EB2A71">
        <w:rPr>
          <w:rFonts w:ascii="Arial" w:eastAsia="Times New Roman" w:hAnsi="Arial" w:cs="Arial"/>
          <w:color w:val="0F1115"/>
          <w:kern w:val="36"/>
          <w:sz w:val="44"/>
          <w:szCs w:val="44"/>
          <w:lang w:eastAsia="en-GB"/>
          <w14:ligatures w14:val="none"/>
        </w:rPr>
        <w:t>u</w:t>
      </w:r>
      <w:r w:rsidRPr="00A256B2">
        <w:rPr>
          <w:rFonts w:ascii="Arial" w:eastAsia="Times New Roman" w:hAnsi="Arial" w:cs="Arial"/>
          <w:color w:val="0F1115"/>
          <w:kern w:val="36"/>
          <w:sz w:val="44"/>
          <w:szCs w:val="44"/>
          <w:lang w:eastAsia="en-GB"/>
          <w14:ligatures w14:val="none"/>
        </w:rPr>
        <w:t xml:space="preserve">tilities of N-Terminal Pro-B-Type </w:t>
      </w:r>
      <w:r w:rsidR="00EB2A71">
        <w:rPr>
          <w:rFonts w:ascii="Arial" w:eastAsia="Times New Roman" w:hAnsi="Arial" w:cs="Arial"/>
          <w:color w:val="0F1115"/>
          <w:kern w:val="36"/>
          <w:sz w:val="44"/>
          <w:szCs w:val="44"/>
          <w:lang w:eastAsia="en-GB"/>
          <w14:ligatures w14:val="none"/>
        </w:rPr>
        <w:t>n</w:t>
      </w:r>
      <w:r w:rsidRPr="00A256B2">
        <w:rPr>
          <w:rFonts w:ascii="Arial" w:eastAsia="Times New Roman" w:hAnsi="Arial" w:cs="Arial"/>
          <w:color w:val="0F1115"/>
          <w:kern w:val="36"/>
          <w:sz w:val="44"/>
          <w:szCs w:val="44"/>
          <w:lang w:eastAsia="en-GB"/>
          <w14:ligatures w14:val="none"/>
        </w:rPr>
        <w:t xml:space="preserve">atriuretic </w:t>
      </w:r>
      <w:r w:rsidR="00EB2A71">
        <w:rPr>
          <w:rFonts w:ascii="Arial" w:eastAsia="Times New Roman" w:hAnsi="Arial" w:cs="Arial"/>
          <w:color w:val="0F1115"/>
          <w:kern w:val="36"/>
          <w:sz w:val="44"/>
          <w:szCs w:val="44"/>
          <w:lang w:eastAsia="en-GB"/>
          <w14:ligatures w14:val="none"/>
        </w:rPr>
        <w:t>p</w:t>
      </w:r>
      <w:r w:rsidRPr="00A256B2">
        <w:rPr>
          <w:rFonts w:ascii="Arial" w:eastAsia="Times New Roman" w:hAnsi="Arial" w:cs="Arial"/>
          <w:color w:val="0F1115"/>
          <w:kern w:val="36"/>
          <w:sz w:val="44"/>
          <w:szCs w:val="44"/>
          <w:lang w:eastAsia="en-GB"/>
          <w14:ligatures w14:val="none"/>
        </w:rPr>
        <w:t xml:space="preserve">eptide and </w:t>
      </w:r>
      <w:r w:rsidR="00EB2A71">
        <w:rPr>
          <w:rFonts w:ascii="Arial" w:eastAsia="Times New Roman" w:hAnsi="Arial" w:cs="Arial"/>
          <w:color w:val="0F1115"/>
          <w:kern w:val="36"/>
          <w:sz w:val="44"/>
          <w:szCs w:val="44"/>
          <w:lang w:eastAsia="en-GB"/>
          <w14:ligatures w14:val="none"/>
        </w:rPr>
        <w:t>c</w:t>
      </w:r>
      <w:r w:rsidRPr="00A256B2">
        <w:rPr>
          <w:rFonts w:ascii="Arial" w:eastAsia="Times New Roman" w:hAnsi="Arial" w:cs="Arial"/>
          <w:color w:val="0F1115"/>
          <w:kern w:val="36"/>
          <w:sz w:val="44"/>
          <w:szCs w:val="44"/>
          <w:lang w:eastAsia="en-GB"/>
          <w14:ligatures w14:val="none"/>
        </w:rPr>
        <w:t xml:space="preserve">opeptin in </w:t>
      </w:r>
      <w:r w:rsidR="00EB2A71">
        <w:rPr>
          <w:rFonts w:ascii="Arial" w:eastAsia="Times New Roman" w:hAnsi="Arial" w:cs="Arial"/>
          <w:color w:val="0F1115"/>
          <w:kern w:val="36"/>
          <w:sz w:val="44"/>
          <w:szCs w:val="44"/>
          <w:lang w:eastAsia="en-GB"/>
          <w14:ligatures w14:val="none"/>
        </w:rPr>
        <w:t>a</w:t>
      </w:r>
      <w:r w:rsidRPr="00A256B2">
        <w:rPr>
          <w:rFonts w:ascii="Arial" w:eastAsia="Times New Roman" w:hAnsi="Arial" w:cs="Arial"/>
          <w:color w:val="0F1115"/>
          <w:kern w:val="36"/>
          <w:sz w:val="44"/>
          <w:szCs w:val="44"/>
          <w:lang w:eastAsia="en-GB"/>
          <w14:ligatures w14:val="none"/>
        </w:rPr>
        <w:t xml:space="preserve">ssessing </w:t>
      </w:r>
      <w:r w:rsidR="00EB2A71">
        <w:rPr>
          <w:rFonts w:ascii="Arial" w:eastAsia="Times New Roman" w:hAnsi="Arial" w:cs="Arial"/>
          <w:color w:val="0F1115"/>
          <w:kern w:val="36"/>
          <w:sz w:val="44"/>
          <w:szCs w:val="44"/>
          <w:lang w:eastAsia="en-GB"/>
          <w14:ligatures w14:val="none"/>
        </w:rPr>
        <w:t>h</w:t>
      </w:r>
      <w:r w:rsidRPr="00A256B2">
        <w:rPr>
          <w:rFonts w:ascii="Arial" w:eastAsia="Times New Roman" w:hAnsi="Arial" w:cs="Arial"/>
          <w:color w:val="0F1115"/>
          <w:kern w:val="36"/>
          <w:sz w:val="44"/>
          <w:szCs w:val="44"/>
          <w:lang w:eastAsia="en-GB"/>
          <w14:ligatures w14:val="none"/>
        </w:rPr>
        <w:t xml:space="preserve">eart </w:t>
      </w:r>
      <w:r w:rsidR="00EB2A71">
        <w:rPr>
          <w:rFonts w:ascii="Arial" w:eastAsia="Times New Roman" w:hAnsi="Arial" w:cs="Arial"/>
          <w:color w:val="0F1115"/>
          <w:kern w:val="36"/>
          <w:sz w:val="44"/>
          <w:szCs w:val="44"/>
          <w:lang w:eastAsia="en-GB"/>
          <w14:ligatures w14:val="none"/>
        </w:rPr>
        <w:t>f</w:t>
      </w:r>
      <w:r w:rsidRPr="00A256B2">
        <w:rPr>
          <w:rFonts w:ascii="Arial" w:eastAsia="Times New Roman" w:hAnsi="Arial" w:cs="Arial"/>
          <w:color w:val="0F1115"/>
          <w:kern w:val="36"/>
          <w:sz w:val="44"/>
          <w:szCs w:val="44"/>
          <w:lang w:eastAsia="en-GB"/>
          <w14:ligatures w14:val="none"/>
        </w:rPr>
        <w:t xml:space="preserve">ailure and </w:t>
      </w:r>
      <w:r w:rsidR="00EB2A71">
        <w:rPr>
          <w:rFonts w:ascii="Arial" w:eastAsia="Times New Roman" w:hAnsi="Arial" w:cs="Arial"/>
          <w:color w:val="0F1115"/>
          <w:kern w:val="36"/>
          <w:sz w:val="44"/>
          <w:szCs w:val="44"/>
          <w:lang w:eastAsia="en-GB"/>
          <w14:ligatures w14:val="none"/>
        </w:rPr>
        <w:t>s</w:t>
      </w:r>
      <w:r w:rsidRPr="00A256B2">
        <w:rPr>
          <w:rFonts w:ascii="Arial" w:eastAsia="Times New Roman" w:hAnsi="Arial" w:cs="Arial"/>
          <w:color w:val="0F1115"/>
          <w:kern w:val="36"/>
          <w:sz w:val="44"/>
          <w:szCs w:val="44"/>
          <w:lang w:eastAsia="en-GB"/>
          <w14:ligatures w14:val="none"/>
        </w:rPr>
        <w:t xml:space="preserve">ystolic </w:t>
      </w:r>
      <w:r w:rsidR="00EB2A71">
        <w:rPr>
          <w:rFonts w:ascii="Arial" w:eastAsia="Times New Roman" w:hAnsi="Arial" w:cs="Arial"/>
          <w:color w:val="0F1115"/>
          <w:kern w:val="36"/>
          <w:sz w:val="44"/>
          <w:szCs w:val="44"/>
          <w:lang w:eastAsia="en-GB"/>
          <w14:ligatures w14:val="none"/>
        </w:rPr>
        <w:t>d</w:t>
      </w:r>
      <w:r w:rsidRPr="00A256B2">
        <w:rPr>
          <w:rFonts w:ascii="Arial" w:eastAsia="Times New Roman" w:hAnsi="Arial" w:cs="Arial"/>
          <w:color w:val="0F1115"/>
          <w:kern w:val="36"/>
          <w:sz w:val="44"/>
          <w:szCs w:val="44"/>
          <w:lang w:eastAsia="en-GB"/>
          <w14:ligatures w14:val="none"/>
        </w:rPr>
        <w:t xml:space="preserve">ysfunction </w:t>
      </w:r>
      <w:r w:rsidR="00EB2A71">
        <w:rPr>
          <w:rFonts w:ascii="Arial" w:eastAsia="Times New Roman" w:hAnsi="Arial" w:cs="Arial"/>
          <w:color w:val="0F1115"/>
          <w:kern w:val="36"/>
          <w:sz w:val="44"/>
          <w:szCs w:val="44"/>
          <w:lang w:eastAsia="en-GB"/>
          <w14:ligatures w14:val="none"/>
        </w:rPr>
        <w:t>s</w:t>
      </w:r>
      <w:r w:rsidRPr="00A256B2">
        <w:rPr>
          <w:rFonts w:ascii="Arial" w:eastAsia="Times New Roman" w:hAnsi="Arial" w:cs="Arial"/>
          <w:color w:val="0F1115"/>
          <w:kern w:val="36"/>
          <w:sz w:val="44"/>
          <w:szCs w:val="44"/>
          <w:lang w:eastAsia="en-GB"/>
          <w14:ligatures w14:val="none"/>
        </w:rPr>
        <w:t>everity</w:t>
      </w:r>
    </w:p>
    <w:p w14:paraId="5870B292" w14:textId="28910F96" w:rsidR="00D73BFC" w:rsidRPr="00BE2DB0" w:rsidRDefault="00D73BFC" w:rsidP="00EC7F67">
      <w:pPr>
        <w:shd w:val="clear" w:color="auto" w:fill="FFFFFF"/>
        <w:spacing w:after="0" w:line="240" w:lineRule="auto"/>
        <w:jc w:val="both"/>
        <w:rPr>
          <w:rFonts w:ascii="Arial" w:eastAsia="Times New Roman" w:hAnsi="Arial" w:cs="Arial"/>
          <w:color w:val="0F1115"/>
          <w:kern w:val="0"/>
          <w:lang w:eastAsia="en-GB"/>
          <w14:ligatures w14:val="none"/>
        </w:rPr>
      </w:pPr>
      <w:r w:rsidRPr="00BE2DB0">
        <w:rPr>
          <w:rFonts w:ascii="Arial" w:eastAsia="Times New Roman" w:hAnsi="Arial" w:cs="Arial"/>
          <w:color w:val="0F1115"/>
          <w:kern w:val="0"/>
          <w:lang w:eastAsia="en-GB"/>
          <w14:ligatures w14:val="none"/>
        </w:rPr>
        <w:t>Zidan MA</w:t>
      </w:r>
      <w:r w:rsidR="006F53B8" w:rsidRPr="006F53B8">
        <w:rPr>
          <w:rFonts w:ascii="Arial" w:eastAsia="Times New Roman" w:hAnsi="Arial" w:cs="Arial"/>
          <w:color w:val="0F1115"/>
          <w:kern w:val="0"/>
          <w:vertAlign w:val="superscript"/>
          <w:lang w:eastAsia="en-GB"/>
          <w14:ligatures w14:val="none"/>
        </w:rPr>
        <w:t>1</w:t>
      </w:r>
      <w:r w:rsidRPr="00BE2DB0">
        <w:rPr>
          <w:rFonts w:ascii="Arial" w:eastAsia="Times New Roman" w:hAnsi="Arial" w:cs="Arial"/>
          <w:color w:val="0F1115"/>
          <w:kern w:val="0"/>
          <w:lang w:eastAsia="en-GB"/>
          <w14:ligatures w14:val="none"/>
        </w:rPr>
        <w:t>, Altaee AH</w:t>
      </w:r>
      <w:r w:rsidR="006F53B8" w:rsidRPr="006F53B8">
        <w:rPr>
          <w:rFonts w:ascii="Arial" w:eastAsia="Times New Roman" w:hAnsi="Arial" w:cs="Arial"/>
          <w:color w:val="0F1115"/>
          <w:kern w:val="0"/>
          <w:vertAlign w:val="superscript"/>
          <w:lang w:eastAsia="en-GB"/>
          <w14:ligatures w14:val="none"/>
        </w:rPr>
        <w:t>1</w:t>
      </w:r>
      <w:r w:rsidRPr="00BE2DB0">
        <w:rPr>
          <w:rFonts w:ascii="Arial" w:eastAsia="Times New Roman" w:hAnsi="Arial" w:cs="Arial"/>
          <w:color w:val="0F1115"/>
          <w:kern w:val="0"/>
          <w:lang w:eastAsia="en-GB"/>
          <w14:ligatures w14:val="none"/>
        </w:rPr>
        <w:t>, Al-Salihi OJ</w:t>
      </w:r>
      <w:r w:rsidR="006F53B8" w:rsidRPr="006F53B8">
        <w:rPr>
          <w:rFonts w:ascii="Arial" w:eastAsia="Times New Roman" w:hAnsi="Arial" w:cs="Arial"/>
          <w:color w:val="0F1115"/>
          <w:kern w:val="0"/>
          <w:vertAlign w:val="superscript"/>
          <w:lang w:eastAsia="en-GB"/>
          <w14:ligatures w14:val="none"/>
        </w:rPr>
        <w:t>2</w:t>
      </w:r>
    </w:p>
    <w:p w14:paraId="5904C16B" w14:textId="77777777" w:rsidR="00A256B2" w:rsidRPr="00EC7F67" w:rsidRDefault="00A256B2"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258F4EC" w14:textId="2D645E81" w:rsidR="00BE2DB0" w:rsidRPr="00BC4ED9"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BC4ED9">
        <w:rPr>
          <w:rFonts w:ascii="Arial" w:eastAsia="Times New Roman" w:hAnsi="Arial" w:cs="Arial"/>
          <w:i/>
          <w:iCs/>
          <w:color w:val="0F1115"/>
          <w:kern w:val="0"/>
          <w:sz w:val="20"/>
          <w:szCs w:val="20"/>
          <w:lang w:eastAsia="en-GB"/>
          <w14:ligatures w14:val="none"/>
        </w:rPr>
        <w:t>¹Department of Biochemistry, College of Medicine, University of Babylon, Hilla, Babylon Governorate,</w:t>
      </w:r>
      <w:r w:rsidR="00EB4694">
        <w:rPr>
          <w:rFonts w:ascii="Arial" w:eastAsia="Times New Roman" w:hAnsi="Arial" w:cs="Arial"/>
          <w:i/>
          <w:iCs/>
          <w:color w:val="0F1115"/>
          <w:kern w:val="0"/>
          <w:sz w:val="20"/>
          <w:szCs w:val="20"/>
          <w:lang w:eastAsia="en-GB"/>
          <w14:ligatures w14:val="none"/>
        </w:rPr>
        <w:t xml:space="preserve"> </w:t>
      </w:r>
      <w:r w:rsidRPr="00BC4ED9">
        <w:rPr>
          <w:rFonts w:ascii="Arial" w:eastAsia="Times New Roman" w:hAnsi="Arial" w:cs="Arial"/>
          <w:i/>
          <w:iCs/>
          <w:color w:val="0F1115"/>
          <w:kern w:val="0"/>
          <w:sz w:val="20"/>
          <w:szCs w:val="20"/>
          <w:lang w:eastAsia="en-GB"/>
          <w14:ligatures w14:val="none"/>
        </w:rPr>
        <w:t>Iraq</w:t>
      </w:r>
    </w:p>
    <w:p w14:paraId="767F8159" w14:textId="2A13BC64" w:rsidR="00D73BFC" w:rsidRPr="00BC4ED9"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BC4ED9">
        <w:rPr>
          <w:rFonts w:ascii="Arial" w:eastAsia="Times New Roman" w:hAnsi="Arial" w:cs="Arial"/>
          <w:i/>
          <w:iCs/>
          <w:color w:val="0F1115"/>
          <w:kern w:val="0"/>
          <w:sz w:val="20"/>
          <w:szCs w:val="20"/>
          <w:lang w:eastAsia="en-GB"/>
          <w14:ligatures w14:val="none"/>
        </w:rPr>
        <w:t>²College of Medicine, University of Babylon, Hilla, Babylon Governorate,</w:t>
      </w:r>
      <w:r w:rsidR="00EB4694">
        <w:rPr>
          <w:rFonts w:ascii="Arial" w:eastAsia="Times New Roman" w:hAnsi="Arial" w:cs="Arial"/>
          <w:i/>
          <w:iCs/>
          <w:color w:val="0F1115"/>
          <w:kern w:val="0"/>
          <w:sz w:val="20"/>
          <w:szCs w:val="20"/>
          <w:lang w:eastAsia="en-GB"/>
          <w14:ligatures w14:val="none"/>
        </w:rPr>
        <w:t xml:space="preserve"> </w:t>
      </w:r>
      <w:r w:rsidRPr="00BC4ED9">
        <w:rPr>
          <w:rFonts w:ascii="Arial" w:eastAsia="Times New Roman" w:hAnsi="Arial" w:cs="Arial"/>
          <w:i/>
          <w:iCs/>
          <w:color w:val="0F1115"/>
          <w:kern w:val="0"/>
          <w:sz w:val="20"/>
          <w:szCs w:val="20"/>
          <w:lang w:eastAsia="en-GB"/>
          <w14:ligatures w14:val="none"/>
        </w:rPr>
        <w:t>Iraq</w:t>
      </w:r>
    </w:p>
    <w:p w14:paraId="742D3F48" w14:textId="77777777" w:rsidR="005A0B00" w:rsidRPr="00EC7F67" w:rsidRDefault="005A0B00"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240F278" w14:textId="7BF8E154" w:rsidR="001A4CED" w:rsidRPr="004E7B52" w:rsidRDefault="001A4CED" w:rsidP="001A4CED">
      <w:pPr>
        <w:autoSpaceDE w:val="0"/>
        <w:autoSpaceDN w:val="0"/>
        <w:adjustRightInd w:val="0"/>
        <w:spacing w:after="0" w:line="240" w:lineRule="auto"/>
        <w:jc w:val="both"/>
        <w:rPr>
          <w:rFonts w:ascii="Arial" w:eastAsia="SimSun" w:hAnsi="Arial" w:cs="Arial"/>
          <w:color w:val="000000"/>
          <w:sz w:val="16"/>
          <w:szCs w:val="16"/>
        </w:rPr>
      </w:pPr>
      <w:r w:rsidRPr="004E7B52">
        <w:rPr>
          <w:rFonts w:ascii="Arial" w:eastAsia="SimSun" w:hAnsi="Arial" w:cs="Arial"/>
          <w:i/>
          <w:iCs/>
          <w:color w:val="000000"/>
          <w:sz w:val="16"/>
          <w:szCs w:val="16"/>
        </w:rPr>
        <w:t xml:space="preserve">Submitted: </w:t>
      </w:r>
      <w:r>
        <w:rPr>
          <w:rFonts w:ascii="Arial" w:eastAsia="SimSun" w:hAnsi="Arial" w:cs="Arial"/>
          <w:i/>
          <w:iCs/>
          <w:color w:val="000000"/>
          <w:sz w:val="16"/>
          <w:szCs w:val="16"/>
        </w:rPr>
        <w:t>6</w:t>
      </w:r>
      <w:r w:rsidRPr="001A4CED">
        <w:rPr>
          <w:rFonts w:ascii="Arial" w:eastAsia="SimSun" w:hAnsi="Arial" w:cs="Arial"/>
          <w:i/>
          <w:iCs/>
          <w:color w:val="000000"/>
          <w:sz w:val="16"/>
          <w:szCs w:val="16"/>
          <w:vertAlign w:val="superscript"/>
        </w:rPr>
        <w:t>th</w:t>
      </w:r>
      <w:r>
        <w:rPr>
          <w:rFonts w:ascii="Arial" w:eastAsia="SimSun" w:hAnsi="Arial" w:cs="Arial"/>
          <w:i/>
          <w:iCs/>
          <w:color w:val="000000"/>
          <w:sz w:val="16"/>
          <w:szCs w:val="16"/>
        </w:rPr>
        <w:t xml:space="preserve"> </w:t>
      </w:r>
      <w:r w:rsidR="00E517FB">
        <w:rPr>
          <w:rFonts w:ascii="Arial" w:eastAsia="SimSun" w:hAnsi="Arial" w:cs="Arial"/>
          <w:i/>
          <w:iCs/>
          <w:color w:val="000000"/>
          <w:sz w:val="16"/>
          <w:szCs w:val="16"/>
        </w:rPr>
        <w:t>April</w:t>
      </w:r>
      <w:r>
        <w:rPr>
          <w:rFonts w:ascii="Arial" w:eastAsia="SimSun" w:hAnsi="Arial" w:cs="Arial"/>
          <w:i/>
          <w:iCs/>
          <w:color w:val="000000"/>
          <w:sz w:val="16"/>
          <w:szCs w:val="16"/>
        </w:rPr>
        <w:t xml:space="preserve"> </w:t>
      </w:r>
      <w:r w:rsidRPr="004E7B52">
        <w:rPr>
          <w:rFonts w:ascii="Arial" w:eastAsia="SimSun" w:hAnsi="Arial" w:cs="Arial"/>
          <w:i/>
          <w:iCs/>
          <w:color w:val="000000"/>
          <w:sz w:val="16"/>
          <w:szCs w:val="16"/>
        </w:rPr>
        <w:t>2026</w:t>
      </w:r>
    </w:p>
    <w:p w14:paraId="50A2C979" w14:textId="51ECA5A3" w:rsidR="001A4CED" w:rsidRPr="004E7B52" w:rsidRDefault="001A4CED" w:rsidP="001A4CED">
      <w:pPr>
        <w:autoSpaceDE w:val="0"/>
        <w:autoSpaceDN w:val="0"/>
        <w:adjustRightInd w:val="0"/>
        <w:spacing w:after="0" w:line="240" w:lineRule="auto"/>
        <w:jc w:val="both"/>
        <w:rPr>
          <w:rFonts w:ascii="Arial" w:eastAsia="SimSun" w:hAnsi="Arial" w:cs="Arial"/>
          <w:color w:val="000000"/>
          <w:sz w:val="16"/>
          <w:szCs w:val="16"/>
        </w:rPr>
      </w:pPr>
      <w:r w:rsidRPr="004E7B52">
        <w:rPr>
          <w:rFonts w:ascii="Arial" w:eastAsia="SimSun" w:hAnsi="Arial" w:cs="Arial"/>
          <w:i/>
          <w:iCs/>
          <w:color w:val="000000"/>
          <w:sz w:val="16"/>
          <w:szCs w:val="16"/>
        </w:rPr>
        <w:t xml:space="preserve">Accepted: </w:t>
      </w:r>
      <w:r>
        <w:rPr>
          <w:rFonts w:ascii="Arial" w:eastAsia="SimSun" w:hAnsi="Arial" w:cs="Arial"/>
          <w:i/>
          <w:iCs/>
          <w:color w:val="000000"/>
          <w:sz w:val="16"/>
          <w:szCs w:val="16"/>
        </w:rPr>
        <w:t>10</w:t>
      </w:r>
      <w:r w:rsidRPr="001A4CED">
        <w:rPr>
          <w:rFonts w:ascii="Arial" w:eastAsia="SimSun" w:hAnsi="Arial" w:cs="Arial"/>
          <w:i/>
          <w:iCs/>
          <w:color w:val="000000"/>
          <w:sz w:val="16"/>
          <w:szCs w:val="16"/>
          <w:vertAlign w:val="superscript"/>
        </w:rPr>
        <w:t>th</w:t>
      </w:r>
      <w:r>
        <w:rPr>
          <w:rFonts w:ascii="Arial" w:eastAsia="SimSun" w:hAnsi="Arial" w:cs="Arial"/>
          <w:i/>
          <w:iCs/>
          <w:color w:val="000000"/>
          <w:sz w:val="16"/>
          <w:szCs w:val="16"/>
        </w:rPr>
        <w:t xml:space="preserve"> May </w:t>
      </w:r>
      <w:r w:rsidRPr="004E7B52">
        <w:rPr>
          <w:rFonts w:ascii="Arial" w:eastAsia="SimSun" w:hAnsi="Arial" w:cs="Arial"/>
          <w:i/>
          <w:iCs/>
          <w:color w:val="000000"/>
          <w:sz w:val="16"/>
          <w:szCs w:val="16"/>
        </w:rPr>
        <w:t>2026</w:t>
      </w:r>
    </w:p>
    <w:p w14:paraId="101805AB" w14:textId="0AB87E1F" w:rsidR="001A4CED" w:rsidRPr="004E7B52" w:rsidRDefault="001A4CED" w:rsidP="001A4CED">
      <w:pPr>
        <w:autoSpaceDE w:val="0"/>
        <w:autoSpaceDN w:val="0"/>
        <w:adjustRightInd w:val="0"/>
        <w:spacing w:after="0" w:line="240" w:lineRule="auto"/>
        <w:jc w:val="both"/>
        <w:rPr>
          <w:rFonts w:ascii="Arial" w:eastAsia="SimSun" w:hAnsi="Arial" w:cs="Arial"/>
          <w:i/>
          <w:iCs/>
          <w:color w:val="000000"/>
          <w:sz w:val="16"/>
          <w:szCs w:val="16"/>
        </w:rPr>
      </w:pPr>
      <w:r w:rsidRPr="004E7B52">
        <w:rPr>
          <w:rFonts w:ascii="Arial" w:eastAsia="SimSun" w:hAnsi="Arial" w:cs="Arial"/>
          <w:i/>
          <w:iCs/>
          <w:color w:val="000000"/>
          <w:sz w:val="16"/>
          <w:szCs w:val="16"/>
        </w:rPr>
        <w:t>Published: 3</w:t>
      </w:r>
      <w:r w:rsidR="00B50AB4">
        <w:rPr>
          <w:rFonts w:ascii="Arial" w:eastAsia="SimSun" w:hAnsi="Arial" w:cs="Arial"/>
          <w:i/>
          <w:iCs/>
          <w:color w:val="000000"/>
          <w:sz w:val="16"/>
          <w:szCs w:val="16"/>
        </w:rPr>
        <w:t>1</w:t>
      </w:r>
      <w:r w:rsidR="00B50AB4" w:rsidRPr="00B50AB4">
        <w:rPr>
          <w:rFonts w:ascii="Arial" w:eastAsia="SimSun" w:hAnsi="Arial" w:cs="Arial"/>
          <w:i/>
          <w:iCs/>
          <w:color w:val="000000"/>
          <w:sz w:val="16"/>
          <w:szCs w:val="16"/>
          <w:vertAlign w:val="superscript"/>
        </w:rPr>
        <w:t>st</w:t>
      </w:r>
      <w:r w:rsidR="00B50AB4">
        <w:rPr>
          <w:rFonts w:ascii="Arial" w:eastAsia="SimSun" w:hAnsi="Arial" w:cs="Arial"/>
          <w:i/>
          <w:iCs/>
          <w:color w:val="000000"/>
          <w:sz w:val="16"/>
          <w:szCs w:val="16"/>
        </w:rPr>
        <w:t xml:space="preserve"> Octo</w:t>
      </w:r>
      <w:r w:rsidRPr="004E7B52">
        <w:rPr>
          <w:rFonts w:ascii="Arial" w:eastAsia="SimSun" w:hAnsi="Arial" w:cs="Arial"/>
          <w:i/>
          <w:iCs/>
          <w:color w:val="000000"/>
          <w:sz w:val="16"/>
          <w:szCs w:val="16"/>
        </w:rPr>
        <w:t>ber 2026</w:t>
      </w:r>
    </w:p>
    <w:p w14:paraId="049E3B61" w14:textId="77777777" w:rsidR="001A4CED" w:rsidRPr="004E7B52" w:rsidRDefault="001A4CED" w:rsidP="001A4CED">
      <w:pPr>
        <w:spacing w:after="0" w:line="240" w:lineRule="auto"/>
        <w:jc w:val="both"/>
        <w:rPr>
          <w:rFonts w:ascii="Arial" w:eastAsia="Calibri" w:hAnsi="Arial" w:cs="Arial"/>
          <w:kern w:val="0"/>
          <w:sz w:val="20"/>
          <w:szCs w:val="20"/>
          <w14:ligatures w14:val="none"/>
        </w:rPr>
      </w:pPr>
      <w:r w:rsidRPr="004E7B52">
        <w:rPr>
          <w:rFonts w:ascii="Arial" w:eastAsia="Calibri" w:hAnsi="Arial" w:cs="Arial"/>
          <w:color w:val="0000FF"/>
          <w:kern w:val="0"/>
          <w:sz w:val="20"/>
          <w:szCs w:val="20"/>
          <w:u w:val="single"/>
          <w14:ligatures w14:val="none"/>
        </w:rPr>
        <w:t>ID</w:t>
      </w:r>
      <w:r w:rsidRPr="004E7B52">
        <w:rPr>
          <w:rFonts w:ascii="Arial" w:eastAsia="Calibri" w:hAnsi="Arial" w:cs="Arial"/>
          <w:kern w:val="0"/>
          <w:sz w:val="20"/>
          <w:szCs w:val="20"/>
          <w14:ligatures w14:val="none"/>
        </w:rPr>
        <w:t>: Orcid ID</w:t>
      </w:r>
    </w:p>
    <w:p w14:paraId="6C2005F5" w14:textId="6BA45593" w:rsidR="001A4CED" w:rsidRDefault="00F2747B"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1239BE">
        <w:rPr>
          <w:noProof/>
          <w:lang w:eastAsia="en-GB"/>
        </w:rPr>
        <mc:AlternateContent>
          <mc:Choice Requires="wps">
            <w:drawing>
              <wp:anchor distT="0" distB="0" distL="114300" distR="114300" simplePos="0" relativeHeight="251659264" behindDoc="0" locked="0" layoutInCell="1" allowOverlap="1" wp14:anchorId="2E2EADE4" wp14:editId="20105ABC">
                <wp:simplePos x="0" y="0"/>
                <wp:positionH relativeFrom="margin">
                  <wp:align>right</wp:align>
                </wp:positionH>
                <wp:positionV relativeFrom="paragraph">
                  <wp:posOffset>147320</wp:posOffset>
                </wp:positionV>
                <wp:extent cx="5716693" cy="2729654"/>
                <wp:effectExtent l="0" t="0" r="17780" b="13970"/>
                <wp:wrapNone/>
                <wp:docPr id="765421686" name="Rectangle 17"/>
                <wp:cNvGraphicFramePr/>
                <a:graphic xmlns:a="http://schemas.openxmlformats.org/drawingml/2006/main">
                  <a:graphicData uri="http://schemas.microsoft.com/office/word/2010/wordprocessingShape">
                    <wps:wsp>
                      <wps:cNvSpPr/>
                      <wps:spPr>
                        <a:xfrm>
                          <a:off x="0" y="0"/>
                          <a:ext cx="5716693" cy="2729654"/>
                        </a:xfrm>
                        <a:prstGeom prst="rect">
                          <a:avLst/>
                        </a:prstGeom>
                        <a:solidFill>
                          <a:srgbClr val="5B9BD5"/>
                        </a:solidFill>
                        <a:ln w="12700" cap="flat" cmpd="sng" algn="ctr">
                          <a:solidFill>
                            <a:srgbClr val="5B9BD5">
                              <a:shade val="50000"/>
                            </a:srgbClr>
                          </a:solidFill>
                          <a:prstDash val="solid"/>
                          <a:miter lim="800000"/>
                        </a:ln>
                        <a:effectLst/>
                      </wps:spPr>
                      <wps:txbx>
                        <w:txbxContent>
                          <w:p w14:paraId="38246629" w14:textId="522F023F" w:rsidR="00F2747B" w:rsidRDefault="00F2747B" w:rsidP="00F2747B">
                            <w:pPr>
                              <w:spacing w:after="0" w:line="240" w:lineRule="auto"/>
                              <w:jc w:val="both"/>
                              <w:rPr>
                                <w:rFonts w:ascii="Arial" w:hAnsi="Arial" w:cs="Arial"/>
                                <w:b/>
                                <w:sz w:val="18"/>
                                <w:szCs w:val="18"/>
                              </w:rPr>
                            </w:pPr>
                            <w:r w:rsidRPr="001239BE">
                              <w:rPr>
                                <w:rFonts w:ascii="Arial" w:hAnsi="Arial" w:cs="Arial"/>
                                <w:b/>
                                <w:sz w:val="18"/>
                                <w:szCs w:val="18"/>
                              </w:rPr>
                              <w:t>Abstract</w:t>
                            </w:r>
                          </w:p>
                          <w:p w14:paraId="37EFE5C1" w14:textId="77777777" w:rsidR="00F2747B" w:rsidRPr="00553BDA" w:rsidRDefault="00F2747B" w:rsidP="00F2747B">
                            <w:pPr>
                              <w:spacing w:after="0" w:line="240" w:lineRule="auto"/>
                              <w:jc w:val="both"/>
                              <w:rPr>
                                <w:rFonts w:ascii="Arial" w:hAnsi="Arial" w:cs="Arial"/>
                                <w:bCs/>
                                <w:sz w:val="18"/>
                                <w:szCs w:val="18"/>
                              </w:rPr>
                            </w:pPr>
                            <w:r w:rsidRPr="00553BDA">
                              <w:rPr>
                                <w:rFonts w:ascii="Arial" w:hAnsi="Arial" w:cs="Arial"/>
                                <w:b/>
                                <w:sz w:val="18"/>
                                <w:szCs w:val="18"/>
                              </w:rPr>
                              <w:t>Objective:</w:t>
                            </w:r>
                            <w:r w:rsidRPr="00553BDA">
                              <w:rPr>
                                <w:rFonts w:ascii="Arial" w:hAnsi="Arial" w:cs="Arial"/>
                                <w:bCs/>
                                <w:sz w:val="18"/>
                                <w:szCs w:val="18"/>
                              </w:rPr>
                              <w:t xml:space="preserve"> To evaluate and compare the diagnostic and predictive capacities of N-terminal pro-B-type natriuretic peptide (NT proBNP) and copeptin in heart failure (HF), and to determine their respective associations with the severity of systolic dysfunction.</w:t>
                            </w:r>
                          </w:p>
                          <w:p w14:paraId="094DF469" w14:textId="4C15C942" w:rsidR="00F2747B" w:rsidRPr="00553BDA" w:rsidRDefault="00F2747B" w:rsidP="00F2747B">
                            <w:pPr>
                              <w:spacing w:after="0" w:line="240" w:lineRule="auto"/>
                              <w:jc w:val="both"/>
                              <w:rPr>
                                <w:rFonts w:ascii="Arial" w:hAnsi="Arial" w:cs="Arial"/>
                                <w:bCs/>
                                <w:sz w:val="18"/>
                                <w:szCs w:val="18"/>
                              </w:rPr>
                            </w:pPr>
                            <w:r w:rsidRPr="00553BDA">
                              <w:rPr>
                                <w:rFonts w:ascii="Arial" w:hAnsi="Arial" w:cs="Arial"/>
                                <w:b/>
                                <w:sz w:val="18"/>
                                <w:szCs w:val="18"/>
                              </w:rPr>
                              <w:t>Methods:</w:t>
                            </w:r>
                            <w:r w:rsidRPr="00553BDA">
                              <w:rPr>
                                <w:rFonts w:ascii="Arial" w:hAnsi="Arial" w:cs="Arial"/>
                                <w:bCs/>
                                <w:sz w:val="18"/>
                                <w:szCs w:val="18"/>
                              </w:rPr>
                              <w:t xml:space="preserve"> A </w:t>
                            </w:r>
                            <w:r w:rsidR="00553BDA" w:rsidRPr="00553BDA">
                              <w:rPr>
                                <w:rFonts w:ascii="Arial" w:hAnsi="Arial" w:cs="Arial"/>
                                <w:bCs/>
                                <w:sz w:val="18"/>
                                <w:szCs w:val="18"/>
                              </w:rPr>
                              <w:t>case-control</w:t>
                            </w:r>
                            <w:r w:rsidRPr="00553BDA">
                              <w:rPr>
                                <w:rFonts w:ascii="Arial" w:hAnsi="Arial" w:cs="Arial"/>
                                <w:bCs/>
                                <w:sz w:val="18"/>
                                <w:szCs w:val="18"/>
                              </w:rPr>
                              <w:t xml:space="preserve"> study enrolled 60 patients with diagnosed HF and 60 healthy controls. Serum NT proBNP and copeptin were quantified using </w:t>
                            </w:r>
                            <w:r w:rsidR="00553BDA" w:rsidRPr="00553BDA">
                              <w:rPr>
                                <w:rFonts w:ascii="Arial" w:hAnsi="Arial" w:cs="Arial"/>
                                <w:bCs/>
                                <w:sz w:val="18"/>
                                <w:szCs w:val="18"/>
                              </w:rPr>
                              <w:t>enzyme-linked</w:t>
                            </w:r>
                            <w:r w:rsidRPr="00553BDA">
                              <w:rPr>
                                <w:rFonts w:ascii="Arial" w:hAnsi="Arial" w:cs="Arial"/>
                                <w:bCs/>
                                <w:sz w:val="18"/>
                                <w:szCs w:val="18"/>
                              </w:rPr>
                              <w:t xml:space="preserve"> immunosorbent assays. Diagnostic performance was assessed by receiver operating characteristic (ROC) curve analysis. Binary and ordinal logistic regression models identified independent predictors of HF and its severity.</w:t>
                            </w:r>
                          </w:p>
                          <w:p w14:paraId="0EA604B6" w14:textId="77777777" w:rsidR="00F2747B" w:rsidRPr="00553BDA" w:rsidRDefault="00F2747B" w:rsidP="00F2747B">
                            <w:pPr>
                              <w:spacing w:after="0" w:line="240" w:lineRule="auto"/>
                              <w:jc w:val="both"/>
                              <w:rPr>
                                <w:rFonts w:ascii="Arial" w:hAnsi="Arial" w:cs="Arial"/>
                                <w:bCs/>
                                <w:sz w:val="18"/>
                                <w:szCs w:val="18"/>
                              </w:rPr>
                            </w:pPr>
                            <w:r w:rsidRPr="00553BDA">
                              <w:rPr>
                                <w:rFonts w:ascii="Arial" w:hAnsi="Arial" w:cs="Arial"/>
                                <w:b/>
                                <w:sz w:val="18"/>
                                <w:szCs w:val="18"/>
                              </w:rPr>
                              <w:t>Results:</w:t>
                            </w:r>
                            <w:r w:rsidRPr="00553BDA">
                              <w:rPr>
                                <w:rFonts w:ascii="Arial" w:hAnsi="Arial" w:cs="Arial"/>
                                <w:bCs/>
                                <w:sz w:val="18"/>
                                <w:szCs w:val="18"/>
                              </w:rPr>
                              <w:t xml:space="preserve"> Both biomarkers showed good diagnostic accuracy. NT proBNP yielded an area under the curve (AUC) of 0.87 (specificity 99.0%, sensitivity 64.0%), while copeptin produced an AUC of 0.84 (sensitivity 81.9%, specificity 74.0%). Binary logistic regression confirmed both markers as significant independent predictors of HF (NT proBNP: odds ratio [OR] 3.23, p=0.007; copeptin: OR 2.33, p=0.001). Ordinal logistic regression revealed that only NT proBNP maintained a statistically significant association with the severity of systolic dysfunction (OR 2.12, p=0.001), whereas copeptin did not (OR 0.99, p=0.87).</w:t>
                            </w:r>
                          </w:p>
                          <w:p w14:paraId="120F862C" w14:textId="77777777" w:rsidR="00F2747B" w:rsidRPr="00553BDA" w:rsidRDefault="00F2747B" w:rsidP="00F2747B">
                            <w:pPr>
                              <w:spacing w:after="0" w:line="240" w:lineRule="auto"/>
                              <w:jc w:val="both"/>
                              <w:rPr>
                                <w:rFonts w:ascii="Arial" w:hAnsi="Arial" w:cs="Arial"/>
                                <w:bCs/>
                                <w:sz w:val="18"/>
                                <w:szCs w:val="18"/>
                              </w:rPr>
                            </w:pPr>
                            <w:r w:rsidRPr="00EB4694">
                              <w:rPr>
                                <w:rFonts w:ascii="Arial" w:hAnsi="Arial" w:cs="Arial"/>
                                <w:b/>
                                <w:sz w:val="18"/>
                                <w:szCs w:val="18"/>
                              </w:rPr>
                              <w:t>Conclusions:</w:t>
                            </w:r>
                            <w:r w:rsidRPr="00553BDA">
                              <w:rPr>
                                <w:rFonts w:ascii="Arial" w:hAnsi="Arial" w:cs="Arial"/>
                                <w:bCs/>
                                <w:sz w:val="18"/>
                                <w:szCs w:val="18"/>
                              </w:rPr>
                              <w:t xml:space="preserve"> NT proBNP and copeptin provide complementary diagnostic information. NT proBNP correlates strongly with cardiac dysfunction severity, whereas copeptin offers enhanced sensitivity to neurohormonal stress. A multimarker strategy may optimise clinical evaluation in HF.</w:t>
                            </w:r>
                          </w:p>
                          <w:p w14:paraId="789B0778" w14:textId="77777777" w:rsidR="00F2747B" w:rsidRPr="00553BDA" w:rsidRDefault="00F2747B" w:rsidP="00F2747B">
                            <w:pPr>
                              <w:spacing w:after="0" w:line="240" w:lineRule="auto"/>
                              <w:jc w:val="both"/>
                              <w:rPr>
                                <w:rFonts w:ascii="Arial" w:hAnsi="Arial" w:cs="Arial"/>
                                <w:bCs/>
                                <w:sz w:val="18"/>
                                <w:szCs w:val="18"/>
                              </w:rPr>
                            </w:pPr>
                          </w:p>
                          <w:p w14:paraId="6C72D4FB" w14:textId="6E7A7D5A" w:rsidR="00F2747B" w:rsidRDefault="00F2747B" w:rsidP="00553BDA">
                            <w:pPr>
                              <w:spacing w:after="0" w:line="240" w:lineRule="auto"/>
                              <w:jc w:val="center"/>
                              <w:rPr>
                                <w:rFonts w:ascii="Arial" w:hAnsi="Arial" w:cs="Arial"/>
                                <w:b/>
                                <w:sz w:val="18"/>
                                <w:szCs w:val="18"/>
                              </w:rPr>
                            </w:pPr>
                            <w:r w:rsidRPr="00553BDA">
                              <w:rPr>
                                <w:rFonts w:ascii="Arial" w:hAnsi="Arial" w:cs="Arial"/>
                                <w:b/>
                                <w:sz w:val="18"/>
                                <w:szCs w:val="18"/>
                              </w:rPr>
                              <w:t>Keywords:</w:t>
                            </w:r>
                            <w:r w:rsidRPr="00553BDA">
                              <w:rPr>
                                <w:rFonts w:ascii="Arial" w:hAnsi="Arial" w:cs="Arial"/>
                                <w:bCs/>
                                <w:sz w:val="18"/>
                                <w:szCs w:val="18"/>
                              </w:rPr>
                              <w:t xml:space="preserve"> Heart Failure, Natriuretic Peptide, Brain, Glycopeptides, Ventricular Dysfunction, Left, Biomarkers</w:t>
                            </w:r>
                          </w:p>
                          <w:p w14:paraId="0C61801F" w14:textId="77777777" w:rsidR="00F2747B" w:rsidRPr="00122E71" w:rsidRDefault="00F2747B" w:rsidP="00F2747B">
                            <w:pPr>
                              <w:spacing w:after="0" w:line="240" w:lineRule="auto"/>
                              <w:jc w:val="both"/>
                              <w:rPr>
                                <w:rFonts w:ascii="Arial" w:hAnsi="Arial" w:cs="Arial"/>
                                <w:b/>
                                <w:sz w:val="18"/>
                                <w:szCs w:val="18"/>
                              </w:rPr>
                            </w:pPr>
                          </w:p>
                          <w:p w14:paraId="137CDE23" w14:textId="77777777" w:rsidR="00F2747B" w:rsidRPr="00122E71" w:rsidRDefault="00F2747B" w:rsidP="00F2747B">
                            <w:pPr>
                              <w:spacing w:after="0" w:line="240" w:lineRule="auto"/>
                              <w:jc w:val="both"/>
                              <w:rPr>
                                <w:rFonts w:ascii="Arial" w:hAnsi="Arial" w:cs="Arial"/>
                                <w:bCs/>
                                <w:sz w:val="18"/>
                                <w:szCs w:val="18"/>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EADE4" id="Rectangle 17" o:spid="_x0000_s1026" style="position:absolute;left:0;text-align:left;margin-left:398.95pt;margin-top:11.6pt;width:450.15pt;height:214.9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" fillcolor="#5b9bd5" strokecolor="#41719c" strokeweight="1pt">
                <v:textbox>
                  <w:txbxContent>
                    <w:p w14:paraId="38246629" w14:textId="522F023F" w:rsidR="00F2747B" w:rsidRDefault="00F2747B" w:rsidP="00F2747B">
                      <w:pPr>
                        <w:spacing w:after="0" w:line="240" w:lineRule="auto"/>
                        <w:jc w:val="both"/>
                        <w:rPr>
                          <w:rFonts w:ascii="Arial" w:hAnsi="Arial" w:cs="Arial"/>
                          <w:b/>
                          <w:sz w:val="18"/>
                          <w:szCs w:val="18"/>
                        </w:rPr>
                      </w:pPr>
                      <w:r w:rsidRPr="001239BE">
                        <w:rPr>
                          <w:rFonts w:ascii="Arial" w:hAnsi="Arial" w:cs="Arial"/>
                          <w:b/>
                          <w:sz w:val="18"/>
                          <w:szCs w:val="18"/>
                        </w:rPr>
                        <w:t>Abstract</w:t>
                      </w:r>
                    </w:p>
                    <w:p w14:paraId="37EFE5C1" w14:textId="77777777" w:rsidR="00F2747B" w:rsidRPr="00553BDA" w:rsidRDefault="00F2747B" w:rsidP="00F2747B">
                      <w:pPr>
                        <w:spacing w:after="0" w:line="240" w:lineRule="auto"/>
                        <w:jc w:val="both"/>
                        <w:rPr>
                          <w:rFonts w:ascii="Arial" w:hAnsi="Arial" w:cs="Arial"/>
                          <w:bCs/>
                          <w:sz w:val="18"/>
                          <w:szCs w:val="18"/>
                        </w:rPr>
                      </w:pPr>
                      <w:r w:rsidRPr="00553BDA">
                        <w:rPr>
                          <w:rFonts w:ascii="Arial" w:hAnsi="Arial" w:cs="Arial"/>
                          <w:b/>
                          <w:sz w:val="18"/>
                          <w:szCs w:val="18"/>
                        </w:rPr>
                        <w:t>Objective:</w:t>
                      </w:r>
                      <w:r w:rsidRPr="00553BDA">
                        <w:rPr>
                          <w:rFonts w:ascii="Arial" w:hAnsi="Arial" w:cs="Arial"/>
                          <w:bCs/>
                          <w:sz w:val="18"/>
                          <w:szCs w:val="18"/>
                        </w:rPr>
                        <w:t xml:space="preserve"> To evaluate and compare the diagnostic and predictive capacities of N-terminal pro-B-type natriuretic peptide (NT proBNP) and copeptin in heart failure (HF), and to determine their respective associations with the severity of systolic dysfunction.</w:t>
                      </w:r>
                    </w:p>
                    <w:p w14:paraId="094DF469" w14:textId="4C15C942" w:rsidR="00F2747B" w:rsidRPr="00553BDA" w:rsidRDefault="00F2747B" w:rsidP="00F2747B">
                      <w:pPr>
                        <w:spacing w:after="0" w:line="240" w:lineRule="auto"/>
                        <w:jc w:val="both"/>
                        <w:rPr>
                          <w:rFonts w:ascii="Arial" w:hAnsi="Arial" w:cs="Arial"/>
                          <w:bCs/>
                          <w:sz w:val="18"/>
                          <w:szCs w:val="18"/>
                        </w:rPr>
                      </w:pPr>
                      <w:r w:rsidRPr="00553BDA">
                        <w:rPr>
                          <w:rFonts w:ascii="Arial" w:hAnsi="Arial" w:cs="Arial"/>
                          <w:b/>
                          <w:sz w:val="18"/>
                          <w:szCs w:val="18"/>
                        </w:rPr>
                        <w:t>Methods:</w:t>
                      </w:r>
                      <w:r w:rsidRPr="00553BDA">
                        <w:rPr>
                          <w:rFonts w:ascii="Arial" w:hAnsi="Arial" w:cs="Arial"/>
                          <w:bCs/>
                          <w:sz w:val="18"/>
                          <w:szCs w:val="18"/>
                        </w:rPr>
                        <w:t xml:space="preserve"> A </w:t>
                      </w:r>
                      <w:r w:rsidR="00553BDA" w:rsidRPr="00553BDA">
                        <w:rPr>
                          <w:rFonts w:ascii="Arial" w:hAnsi="Arial" w:cs="Arial"/>
                          <w:bCs/>
                          <w:sz w:val="18"/>
                          <w:szCs w:val="18"/>
                        </w:rPr>
                        <w:t>case-control</w:t>
                      </w:r>
                      <w:r w:rsidRPr="00553BDA">
                        <w:rPr>
                          <w:rFonts w:ascii="Arial" w:hAnsi="Arial" w:cs="Arial"/>
                          <w:bCs/>
                          <w:sz w:val="18"/>
                          <w:szCs w:val="18"/>
                        </w:rPr>
                        <w:t xml:space="preserve"> study enrolled 60 patients with diagnosed HF and 60 healthy controls. Serum NT proBNP and copeptin were quantified using </w:t>
                      </w:r>
                      <w:r w:rsidR="00553BDA" w:rsidRPr="00553BDA">
                        <w:rPr>
                          <w:rFonts w:ascii="Arial" w:hAnsi="Arial" w:cs="Arial"/>
                          <w:bCs/>
                          <w:sz w:val="18"/>
                          <w:szCs w:val="18"/>
                        </w:rPr>
                        <w:t>enzyme-linked</w:t>
                      </w:r>
                      <w:r w:rsidRPr="00553BDA">
                        <w:rPr>
                          <w:rFonts w:ascii="Arial" w:hAnsi="Arial" w:cs="Arial"/>
                          <w:bCs/>
                          <w:sz w:val="18"/>
                          <w:szCs w:val="18"/>
                        </w:rPr>
                        <w:t xml:space="preserve"> immunosorbent assays. Diagnostic performance was assessed by receiver operating characteristic (ROC) curve analysis. Binary and ordinal logistic regression models identified independent predictors of HF and its severity.</w:t>
                      </w:r>
                    </w:p>
                    <w:p w14:paraId="0EA604B6" w14:textId="77777777" w:rsidR="00F2747B" w:rsidRPr="00553BDA" w:rsidRDefault="00F2747B" w:rsidP="00F2747B">
                      <w:pPr>
                        <w:spacing w:after="0" w:line="240" w:lineRule="auto"/>
                        <w:jc w:val="both"/>
                        <w:rPr>
                          <w:rFonts w:ascii="Arial" w:hAnsi="Arial" w:cs="Arial"/>
                          <w:bCs/>
                          <w:sz w:val="18"/>
                          <w:szCs w:val="18"/>
                        </w:rPr>
                      </w:pPr>
                      <w:r w:rsidRPr="00553BDA">
                        <w:rPr>
                          <w:rFonts w:ascii="Arial" w:hAnsi="Arial" w:cs="Arial"/>
                          <w:b/>
                          <w:sz w:val="18"/>
                          <w:szCs w:val="18"/>
                        </w:rPr>
                        <w:t>Results:</w:t>
                      </w:r>
                      <w:r w:rsidRPr="00553BDA">
                        <w:rPr>
                          <w:rFonts w:ascii="Arial" w:hAnsi="Arial" w:cs="Arial"/>
                          <w:bCs/>
                          <w:sz w:val="18"/>
                          <w:szCs w:val="18"/>
                        </w:rPr>
                        <w:t xml:space="preserve"> Both biomarkers showed good diagnostic accuracy. NT proBNP yielded an area under the curve (AUC) of 0.87 (specificity 99.0%, sensitivity 64.0%), while copeptin produced an AUC of 0.84 (sensitivity 81.9%, specificity 74.0%). Binary logistic regression confirmed both markers as significant independent predictors of HF (NT proBNP: odds ratio [OR] 3.23, p=0.007; copeptin: OR 2.33, p=0.001). Ordinal logistic regression revealed that only NT proBNP maintained a statistically significant association with the severity of systolic dysfunction (OR 2.12, p=0.001), whereas copeptin did not (OR 0.99, p=0.87).</w:t>
                      </w:r>
                    </w:p>
                    <w:p w14:paraId="120F862C" w14:textId="77777777" w:rsidR="00F2747B" w:rsidRPr="00553BDA" w:rsidRDefault="00F2747B" w:rsidP="00F2747B">
                      <w:pPr>
                        <w:spacing w:after="0" w:line="240" w:lineRule="auto"/>
                        <w:jc w:val="both"/>
                        <w:rPr>
                          <w:rFonts w:ascii="Arial" w:hAnsi="Arial" w:cs="Arial"/>
                          <w:bCs/>
                          <w:sz w:val="18"/>
                          <w:szCs w:val="18"/>
                        </w:rPr>
                      </w:pPr>
                      <w:r w:rsidRPr="00EB4694">
                        <w:rPr>
                          <w:rFonts w:ascii="Arial" w:hAnsi="Arial" w:cs="Arial"/>
                          <w:b/>
                          <w:sz w:val="18"/>
                          <w:szCs w:val="18"/>
                        </w:rPr>
                        <w:t>Conclusions:</w:t>
                      </w:r>
                      <w:r w:rsidRPr="00553BDA">
                        <w:rPr>
                          <w:rFonts w:ascii="Arial" w:hAnsi="Arial" w:cs="Arial"/>
                          <w:bCs/>
                          <w:sz w:val="18"/>
                          <w:szCs w:val="18"/>
                        </w:rPr>
                        <w:t xml:space="preserve"> NT proBNP and copeptin provide complementary diagnostic information. NT proBNP correlates strongly with cardiac dysfunction severity, whereas copeptin offers enhanced sensitivity to neurohormonal stress. A multimarker strategy may optimise clinical evaluation in HF.</w:t>
                      </w:r>
                    </w:p>
                    <w:p w14:paraId="789B0778" w14:textId="77777777" w:rsidR="00F2747B" w:rsidRPr="00553BDA" w:rsidRDefault="00F2747B" w:rsidP="00F2747B">
                      <w:pPr>
                        <w:spacing w:after="0" w:line="240" w:lineRule="auto"/>
                        <w:jc w:val="both"/>
                        <w:rPr>
                          <w:rFonts w:ascii="Arial" w:hAnsi="Arial" w:cs="Arial"/>
                          <w:bCs/>
                          <w:sz w:val="18"/>
                          <w:szCs w:val="18"/>
                        </w:rPr>
                      </w:pPr>
                    </w:p>
                    <w:p w14:paraId="6C72D4FB" w14:textId="6E7A7D5A" w:rsidR="00F2747B" w:rsidRDefault="00F2747B" w:rsidP="00553BDA">
                      <w:pPr>
                        <w:spacing w:after="0" w:line="240" w:lineRule="auto"/>
                        <w:jc w:val="center"/>
                        <w:rPr>
                          <w:rFonts w:ascii="Arial" w:hAnsi="Arial" w:cs="Arial"/>
                          <w:b/>
                          <w:sz w:val="18"/>
                          <w:szCs w:val="18"/>
                        </w:rPr>
                      </w:pPr>
                      <w:r w:rsidRPr="00553BDA">
                        <w:rPr>
                          <w:rFonts w:ascii="Arial" w:hAnsi="Arial" w:cs="Arial"/>
                          <w:b/>
                          <w:sz w:val="18"/>
                          <w:szCs w:val="18"/>
                        </w:rPr>
                        <w:t>Keywords:</w:t>
                      </w:r>
                      <w:r w:rsidRPr="00553BDA">
                        <w:rPr>
                          <w:rFonts w:ascii="Arial" w:hAnsi="Arial" w:cs="Arial"/>
                          <w:bCs/>
                          <w:sz w:val="18"/>
                          <w:szCs w:val="18"/>
                        </w:rPr>
                        <w:t xml:space="preserve"> Heart Failure, Natriuretic Peptide, Brain, Glycopeptides, Ventricular Dysfunction, Left, Biomarkers</w:t>
                      </w:r>
                    </w:p>
                    <w:p w14:paraId="0C61801F" w14:textId="77777777" w:rsidR="00F2747B" w:rsidRPr="00122E71" w:rsidRDefault="00F2747B" w:rsidP="00F2747B">
                      <w:pPr>
                        <w:spacing w:after="0" w:line="240" w:lineRule="auto"/>
                        <w:jc w:val="both"/>
                        <w:rPr>
                          <w:rFonts w:ascii="Arial" w:hAnsi="Arial" w:cs="Arial"/>
                          <w:b/>
                          <w:sz w:val="18"/>
                          <w:szCs w:val="18"/>
                        </w:rPr>
                      </w:pPr>
                    </w:p>
                    <w:p w14:paraId="137CDE23" w14:textId="77777777" w:rsidR="00F2747B" w:rsidRPr="00122E71" w:rsidRDefault="00F2747B" w:rsidP="00F2747B">
                      <w:pPr>
                        <w:spacing w:after="0" w:line="240" w:lineRule="auto"/>
                        <w:jc w:val="both"/>
                        <w:rPr>
                          <w:rFonts w:ascii="Arial" w:hAnsi="Arial" w:cs="Arial"/>
                          <w:bCs/>
                          <w:sz w:val="18"/>
                          <w:szCs w:val="18"/>
                        </w:rPr>
                      </w:pPr>
                    </w:p>
                  </w:txbxContent>
                </v:textbox>
                <w10:wrap anchorx="margin"/>
              </v:rect>
            </w:pict>
          </mc:Fallback>
        </mc:AlternateContent>
      </w:r>
    </w:p>
    <w:p w14:paraId="228EB099" w14:textId="7043947C"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DA79E0D"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84B7B2D"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0D114C3"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6C2BA75"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3A0086B"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23F76A0"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C4563E3"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4EAB975"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10970C2"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C0FAE9B"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DC65E2D"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2D087C4"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D8E4AB5"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DA5F726"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CFF4DB8"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A2273A8"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A913B50" w14:textId="77777777" w:rsidR="001A4CED" w:rsidRDefault="001A4CED" w:rsidP="005A0B00">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E12A390" w14:textId="77777777" w:rsidR="00553BDA" w:rsidRPr="00EC7F67" w:rsidRDefault="00553BDA" w:rsidP="00EC7F67">
      <w:pPr>
        <w:spacing w:after="0" w:line="240" w:lineRule="auto"/>
        <w:jc w:val="both"/>
        <w:rPr>
          <w:rFonts w:ascii="Arial" w:eastAsia="Times New Roman" w:hAnsi="Arial" w:cs="Arial"/>
          <w:kern w:val="0"/>
          <w:sz w:val="20"/>
          <w:szCs w:val="20"/>
          <w:lang w:eastAsia="en-GB"/>
          <w14:ligatures w14:val="none"/>
        </w:rPr>
      </w:pPr>
    </w:p>
    <w:p w14:paraId="72152BB1" w14:textId="77777777" w:rsidR="00663B68" w:rsidRDefault="00663B68" w:rsidP="00EC7F67">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p>
    <w:p w14:paraId="61013E5C" w14:textId="2E75A3AF" w:rsidR="00D73BFC" w:rsidRPr="00EC7F67" w:rsidRDefault="00D73BFC" w:rsidP="00EC7F67">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EC7F67">
        <w:rPr>
          <w:rFonts w:ascii="Arial" w:eastAsia="Times New Roman" w:hAnsi="Arial" w:cs="Arial"/>
          <w:b/>
          <w:bCs/>
          <w:color w:val="0F1115"/>
          <w:kern w:val="0"/>
          <w:sz w:val="20"/>
          <w:szCs w:val="20"/>
          <w:lang w:eastAsia="en-GB"/>
          <w14:ligatures w14:val="none"/>
        </w:rPr>
        <w:t>Plain English Summary</w:t>
      </w:r>
    </w:p>
    <w:p w14:paraId="07C234BB" w14:textId="77777777"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Heart failure is a serious condition where the heart cannot pump blood effectively around the body. Doctors often use blood tests to help diagnose heart failure and assess how severe it is. This study compared two blood markers: NT</w:t>
      </w:r>
      <w:r w:rsidRPr="00EC7F67">
        <w:rPr>
          <w:rFonts w:ascii="Arial" w:eastAsia="Times New Roman" w:hAnsi="Arial" w:cs="Arial"/>
          <w:color w:val="0F1115"/>
          <w:kern w:val="0"/>
          <w:sz w:val="20"/>
          <w:szCs w:val="20"/>
          <w:lang w:eastAsia="en-GB"/>
          <w14:ligatures w14:val="none"/>
        </w:rPr>
        <w:noBreakHyphen/>
        <w:t>proBNP (a well</w:t>
      </w:r>
      <w:r w:rsidRPr="00EC7F67">
        <w:rPr>
          <w:rFonts w:ascii="Arial" w:eastAsia="Times New Roman" w:hAnsi="Arial" w:cs="Arial"/>
          <w:color w:val="0F1115"/>
          <w:kern w:val="0"/>
          <w:sz w:val="20"/>
          <w:szCs w:val="20"/>
          <w:lang w:eastAsia="en-GB"/>
          <w14:ligatures w14:val="none"/>
        </w:rPr>
        <w:noBreakHyphen/>
        <w:t>established test that reflects heart muscle stretching) and copeptin (a newer marker that reflects stress hormone activation). The researchers measured both markers in 60 patients with heart failure and 60 healthy people. They found that both markers could distinguish between those with and without heart failure, but they worked slightly differently. NT</w:t>
      </w:r>
      <w:r w:rsidRPr="00EC7F67">
        <w:rPr>
          <w:rFonts w:ascii="Arial" w:eastAsia="Times New Roman" w:hAnsi="Arial" w:cs="Arial"/>
          <w:color w:val="0F1115"/>
          <w:kern w:val="0"/>
          <w:sz w:val="20"/>
          <w:szCs w:val="20"/>
          <w:lang w:eastAsia="en-GB"/>
          <w14:ligatures w14:val="none"/>
        </w:rPr>
        <w:noBreakHyphen/>
        <w:t>proBNP was better at confirming heart failure and at identifying patients with more severe heart damage. Copeptin was more sensitive at detecting possible cases of heart failure, even when NT</w:t>
      </w:r>
      <w:r w:rsidRPr="00EC7F67">
        <w:rPr>
          <w:rFonts w:ascii="Arial" w:eastAsia="Times New Roman" w:hAnsi="Arial" w:cs="Arial"/>
          <w:color w:val="0F1115"/>
          <w:kern w:val="0"/>
          <w:sz w:val="20"/>
          <w:szCs w:val="20"/>
          <w:lang w:eastAsia="en-GB"/>
          <w14:ligatures w14:val="none"/>
        </w:rPr>
        <w:noBreakHyphen/>
        <w:t xml:space="preserve">proBNP was not very high. These results suggest that using both markers together may give doctors a more </w:t>
      </w:r>
      <w:r w:rsidRPr="00EC7F67">
        <w:rPr>
          <w:rFonts w:ascii="Arial" w:eastAsia="Times New Roman" w:hAnsi="Arial" w:cs="Arial"/>
          <w:color w:val="0F1115"/>
          <w:kern w:val="0"/>
          <w:sz w:val="20"/>
          <w:szCs w:val="20"/>
          <w:lang w:eastAsia="en-GB"/>
          <w14:ligatures w14:val="none"/>
        </w:rPr>
        <w:lastRenderedPageBreak/>
        <w:t>complete picture than using either one alone, helping to improve diagnosis and treatment decisions for patients with suspected heart failure.</w:t>
      </w:r>
    </w:p>
    <w:p w14:paraId="406D8D3A" w14:textId="7D08AEFE" w:rsidR="00D73BFC" w:rsidRPr="00EC7F67" w:rsidRDefault="00D73BFC" w:rsidP="00EC7F67">
      <w:pPr>
        <w:spacing w:after="0" w:line="240" w:lineRule="auto"/>
        <w:jc w:val="both"/>
        <w:rPr>
          <w:rFonts w:ascii="Arial" w:eastAsia="Times New Roman" w:hAnsi="Arial" w:cs="Arial"/>
          <w:kern w:val="0"/>
          <w:sz w:val="20"/>
          <w:szCs w:val="20"/>
          <w:lang w:eastAsia="en-GB"/>
          <w14:ligatures w14:val="none"/>
        </w:rPr>
      </w:pPr>
    </w:p>
    <w:p w14:paraId="605E060C" w14:textId="77777777" w:rsidR="001659D7" w:rsidRDefault="001659D7" w:rsidP="00EC7F67">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sectPr w:rsidR="001659D7" w:rsidSect="00EB2A71">
          <w:headerReference w:type="default" r:id="rId8"/>
          <w:footerReference w:type="default" r:id="rId9"/>
          <w:headerReference w:type="first" r:id="rId10"/>
          <w:footerReference w:type="first" r:id="rId11"/>
          <w:pgSz w:w="11906" w:h="16838"/>
          <w:pgMar w:top="1440" w:right="1440" w:bottom="1440" w:left="1440" w:header="720" w:footer="720" w:gutter="0"/>
          <w:cols w:space="720"/>
          <w:titlePg/>
          <w:docGrid w:linePitch="360"/>
        </w:sectPr>
      </w:pPr>
    </w:p>
    <w:p w14:paraId="45CFB2C0" w14:textId="77777777" w:rsidR="00D73BFC" w:rsidRPr="00EC7F67" w:rsidRDefault="00D73BFC" w:rsidP="00EC7F67">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EC7F67">
        <w:rPr>
          <w:rFonts w:ascii="Arial" w:eastAsia="Times New Roman" w:hAnsi="Arial" w:cs="Arial"/>
          <w:b/>
          <w:bCs/>
          <w:color w:val="0F1115"/>
          <w:kern w:val="0"/>
          <w:sz w:val="20"/>
          <w:szCs w:val="20"/>
          <w:lang w:eastAsia="en-GB"/>
          <w14:ligatures w14:val="none"/>
        </w:rPr>
        <w:t>Introduction</w:t>
      </w:r>
    </w:p>
    <w:p w14:paraId="4C0950EE" w14:textId="68125FAE"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 xml:space="preserve">Heart failure (HF) remains one of the most pressing global health challenges of the 21st century. According to the Global Burden of Disease Study 2021, approximately 55.5 million people worldwide were affected by HF, a dramatic increase from 25.4 million in 1990, representing a 118% rise over three decades </w:t>
      </w:r>
      <w:r w:rsidR="00155D83" w:rsidRPr="00155D83">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_Ref229570116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1</w:t>
      </w:r>
      <w:r w:rsidR="00563967">
        <w:rPr>
          <w:rFonts w:ascii="Arial" w:eastAsia="Times New Roman" w:hAnsi="Arial" w:cs="Arial"/>
          <w:color w:val="0000FF"/>
          <w:kern w:val="0"/>
          <w:sz w:val="20"/>
          <w:szCs w:val="20"/>
          <w:lang w:eastAsia="en-GB"/>
          <w14:ligatures w14:val="none"/>
        </w:rPr>
        <w:fldChar w:fldCharType="end"/>
      </w:r>
      <w:r w:rsidR="00155D83" w:rsidRPr="00155D83">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The predominant risk factors driving the global HF epidemic include ischaemic heart disease, hypertensive heart disease, obesity, diabetes mellitus</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valvular heart disorders, with ischaemic heart disease alone accounting for the largest share of HF</w:t>
      </w:r>
      <w:r w:rsidRPr="00EC7F67">
        <w:rPr>
          <w:rFonts w:ascii="Arial" w:eastAsia="Times New Roman" w:hAnsi="Arial" w:cs="Arial"/>
          <w:color w:val="0F1115"/>
          <w:kern w:val="0"/>
          <w:sz w:val="20"/>
          <w:szCs w:val="20"/>
          <w:lang w:eastAsia="en-GB"/>
          <w14:ligatures w14:val="none"/>
        </w:rPr>
        <w:noBreakHyphen/>
        <w:t xml:space="preserve">attributable burden worldwide </w:t>
      </w:r>
      <w:r w:rsidR="00155D83"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_Ref229570132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2</w:t>
      </w:r>
      <w:r w:rsidR="00563967">
        <w:rPr>
          <w:rFonts w:ascii="Arial" w:eastAsia="Times New Roman" w:hAnsi="Arial" w:cs="Arial"/>
          <w:color w:val="0000FF"/>
          <w:kern w:val="0"/>
          <w:sz w:val="20"/>
          <w:szCs w:val="20"/>
          <w:lang w:eastAsia="en-GB"/>
          <w14:ligatures w14:val="none"/>
        </w:rPr>
        <w:fldChar w:fldCharType="end"/>
      </w:r>
      <w:r w:rsidR="00155D83" w:rsidRPr="00647E1D">
        <w:rPr>
          <w:rFonts w:ascii="Arial" w:eastAsia="Times New Roman" w:hAnsi="Arial" w:cs="Arial"/>
          <w:color w:val="0000FF"/>
          <w:kern w:val="0"/>
          <w:sz w:val="20"/>
          <w:szCs w:val="20"/>
          <w:lang w:eastAsia="en-GB"/>
          <w14:ligatures w14:val="none"/>
        </w:rPr>
        <w:t>,</w:t>
      </w:r>
      <w:r w:rsidR="00647E1D" w:rsidRPr="00647E1D">
        <w:rPr>
          <w:rFonts w:ascii="Arial" w:eastAsia="Times New Roman" w:hAnsi="Arial" w:cs="Arial"/>
          <w:color w:val="0000FF"/>
          <w:kern w:val="0"/>
          <w:sz w:val="20"/>
          <w:szCs w:val="20"/>
          <w:lang w:eastAsia="en-GB"/>
          <w14:ligatures w14:val="none"/>
        </w:rPr>
        <w:t xml:space="preserve"> </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_Ref229570152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3</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w:t>
      </w:r>
    </w:p>
    <w:p w14:paraId="1C72AADB" w14:textId="4E67DD42"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The complex pathophysiology of HF involves the activation of multiple neurohormonal compensatory systems, including the renin</w:t>
      </w:r>
      <w:r w:rsidRPr="00EC7F67">
        <w:rPr>
          <w:rFonts w:ascii="Arial" w:eastAsia="Times New Roman" w:hAnsi="Arial" w:cs="Arial"/>
          <w:color w:val="0F1115"/>
          <w:kern w:val="0"/>
          <w:sz w:val="20"/>
          <w:szCs w:val="20"/>
          <w:lang w:eastAsia="en-GB"/>
          <w14:ligatures w14:val="none"/>
        </w:rPr>
        <w:noBreakHyphen/>
        <w:t>angiotensin</w:t>
      </w:r>
      <w:r w:rsidRPr="00EC7F67">
        <w:rPr>
          <w:rFonts w:ascii="Arial" w:eastAsia="Times New Roman" w:hAnsi="Arial" w:cs="Arial"/>
          <w:color w:val="0F1115"/>
          <w:kern w:val="0"/>
          <w:sz w:val="20"/>
          <w:szCs w:val="20"/>
          <w:lang w:eastAsia="en-GB"/>
          <w14:ligatures w14:val="none"/>
        </w:rPr>
        <w:noBreakHyphen/>
        <w:t>aldosterone system (RAAS), the sympathetic nervous system, the natriuretic peptide system</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the arginine vasopressin (AVP) axis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_Ref229570161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4</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This neurohormonal activation, while initially compensatory, becomes maladaptive over time and drives disease progression through myocardial remodelling, volume overload</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end</w:t>
      </w:r>
      <w:r w:rsidRPr="00EC7F67">
        <w:rPr>
          <w:rFonts w:ascii="Arial" w:eastAsia="Times New Roman" w:hAnsi="Arial" w:cs="Arial"/>
          <w:color w:val="0F1115"/>
          <w:kern w:val="0"/>
          <w:sz w:val="20"/>
          <w:szCs w:val="20"/>
          <w:lang w:eastAsia="en-GB"/>
          <w14:ligatures w14:val="none"/>
        </w:rPr>
        <w:noBreakHyphen/>
        <w:t>organ damage. The identification and quantification of biomarkers that reflect these distinct pathophysiological pathways has therefore become central to contemporary HF management</w:t>
      </w:r>
      <w:r w:rsidR="00337D38">
        <w:rPr>
          <w:rFonts w:ascii="Arial" w:eastAsia="Times New Roman" w:hAnsi="Arial" w:cs="Arial"/>
          <w:color w:val="0F1115"/>
          <w:kern w:val="0"/>
          <w:sz w:val="20"/>
          <w:szCs w:val="20"/>
          <w:lang w:eastAsia="en-GB"/>
          <w14:ligatures w14:val="none"/>
        </w:rPr>
        <w:t xml:space="preserve">, </w:t>
      </w:r>
      <w:r w:rsidRPr="00EC7F67">
        <w:rPr>
          <w:rFonts w:ascii="Arial" w:eastAsia="Times New Roman" w:hAnsi="Arial" w:cs="Arial"/>
          <w:color w:val="0F1115"/>
          <w:kern w:val="0"/>
          <w:sz w:val="20"/>
          <w:szCs w:val="20"/>
          <w:lang w:eastAsia="en-GB"/>
          <w14:ligatures w14:val="none"/>
        </w:rPr>
        <w:t xml:space="preserve">enabling earlier diagnosis, more accurate risk stratification, and potentially guiding therapeutic interventions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_Ref229570177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5</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w:t>
      </w:r>
    </w:p>
    <w:p w14:paraId="761158B7" w14:textId="03D944CE"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 xml:space="preserve">Among circulating biomarkers, </w:t>
      </w:r>
      <w:r w:rsidR="00553BDA">
        <w:rPr>
          <w:rFonts w:ascii="Arial" w:eastAsia="Times New Roman" w:hAnsi="Arial" w:cs="Arial"/>
          <w:color w:val="0F1115"/>
          <w:kern w:val="0"/>
          <w:sz w:val="20"/>
          <w:szCs w:val="20"/>
          <w:lang w:eastAsia="en-GB"/>
          <w14:ligatures w14:val="none"/>
        </w:rPr>
        <w:t xml:space="preserve">B-type natriuretic peptide (BNP) and its amino-terminal fragment, N-terminal </w:t>
      </w:r>
      <w:r w:rsidRPr="00EC7F67">
        <w:rPr>
          <w:rFonts w:ascii="Arial" w:eastAsia="Times New Roman" w:hAnsi="Arial" w:cs="Arial"/>
          <w:color w:val="0F1115"/>
          <w:kern w:val="0"/>
          <w:sz w:val="20"/>
          <w:szCs w:val="20"/>
          <w:lang w:eastAsia="en-GB"/>
          <w14:ligatures w14:val="none"/>
        </w:rPr>
        <w:t xml:space="preserve">proBNP, are the most extensively validated and widely used in clinical practice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_Ref229570185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6</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NT</w:t>
      </w:r>
      <w:r w:rsidRPr="00EC7F67">
        <w:rPr>
          <w:rFonts w:ascii="Arial" w:eastAsia="Times New Roman" w:hAnsi="Arial" w:cs="Arial"/>
          <w:color w:val="0F1115"/>
          <w:kern w:val="0"/>
          <w:sz w:val="20"/>
          <w:szCs w:val="20"/>
          <w:lang w:eastAsia="en-GB"/>
          <w14:ligatures w14:val="none"/>
        </w:rPr>
        <w:noBreakHyphen/>
        <w:t>proBNP is released by cardiomyocytes in response to myocardial wall stress from pressure or volume overload. As an inactive prohormone with a longer half</w:t>
      </w:r>
      <w:r w:rsidRPr="00EC7F67">
        <w:rPr>
          <w:rFonts w:ascii="Arial" w:eastAsia="Times New Roman" w:hAnsi="Arial" w:cs="Arial"/>
          <w:color w:val="0F1115"/>
          <w:kern w:val="0"/>
          <w:sz w:val="20"/>
          <w:szCs w:val="20"/>
          <w:lang w:eastAsia="en-GB"/>
          <w14:ligatures w14:val="none"/>
        </w:rPr>
        <w:noBreakHyphen/>
        <w:t>life than BNP (approximately 120 minutes versus approximately 20 minutes), NT</w:t>
      </w:r>
      <w:r w:rsidRPr="00EC7F67">
        <w:rPr>
          <w:rFonts w:ascii="Arial" w:eastAsia="Times New Roman" w:hAnsi="Arial" w:cs="Arial"/>
          <w:color w:val="0F1115"/>
          <w:kern w:val="0"/>
          <w:sz w:val="20"/>
          <w:szCs w:val="20"/>
          <w:lang w:eastAsia="en-GB"/>
          <w14:ligatures w14:val="none"/>
        </w:rPr>
        <w:noBreakHyphen/>
        <w:t xml:space="preserve">proBNP offers favourable stability for clinical measurement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_Ref229570197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7</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Its utility in HF diagnosis is firmly established: low circulating levels carry </w:t>
      </w:r>
      <w:r w:rsidR="00EB4694">
        <w:rPr>
          <w:rFonts w:ascii="Arial" w:eastAsia="Times New Roman" w:hAnsi="Arial" w:cs="Arial"/>
          <w:color w:val="0F1115"/>
          <w:kern w:val="0"/>
          <w:sz w:val="20"/>
          <w:szCs w:val="20"/>
          <w:lang w:eastAsia="en-GB"/>
          <w14:ligatures w14:val="none"/>
        </w:rPr>
        <w:t xml:space="preserve">a </w:t>
      </w:r>
      <w:r w:rsidRPr="00EC7F67">
        <w:rPr>
          <w:rFonts w:ascii="Arial" w:eastAsia="Times New Roman" w:hAnsi="Arial" w:cs="Arial"/>
          <w:color w:val="0F1115"/>
          <w:kern w:val="0"/>
          <w:sz w:val="20"/>
          <w:szCs w:val="20"/>
          <w:lang w:eastAsia="en-GB"/>
          <w14:ligatures w14:val="none"/>
        </w:rPr>
        <w:t>high negative predictive value for ruling out HF, while elevated concentrations correlate with disease severity, functional class</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adverse outcomes</w:t>
      </w:r>
      <w:r w:rsidR="00EB4694">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including mortality and hospitalisation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_Ref229570197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7</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Nonetheless, natriuretic peptide levels are influenced by several confounding factors, including renal dysfunction, obesity, atrial fibrillation</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age, which can limit their diagnostic accuracy in specific patient populations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_Ref229570247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8</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w:t>
      </w:r>
    </w:p>
    <w:p w14:paraId="1285576C" w14:textId="522C32CE"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 xml:space="preserve">Given these limitations, there has been growing interest in complementary biomarkers that reflect different pathophysiological axes of HF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_Ref229570258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9</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w:t>
      </w:r>
      <w:r w:rsidRPr="00EC7F67">
        <w:rPr>
          <w:rFonts w:ascii="Arial" w:eastAsia="Times New Roman" w:hAnsi="Arial" w:cs="Arial"/>
          <w:color w:val="0F1115"/>
          <w:kern w:val="0"/>
          <w:sz w:val="20"/>
          <w:szCs w:val="20"/>
          <w:lang w:eastAsia="en-GB"/>
          <w14:ligatures w14:val="none"/>
        </w:rPr>
        <w:t>Copeptin is the C</w:t>
      </w:r>
      <w:r w:rsidRPr="00EC7F67">
        <w:rPr>
          <w:rFonts w:ascii="Arial" w:eastAsia="Times New Roman" w:hAnsi="Arial" w:cs="Arial"/>
          <w:color w:val="0F1115"/>
          <w:kern w:val="0"/>
          <w:sz w:val="20"/>
          <w:szCs w:val="20"/>
          <w:lang w:eastAsia="en-GB"/>
          <w14:ligatures w14:val="none"/>
        </w:rPr>
        <w:noBreakHyphen/>
        <w:t>terminal fragment of pre</w:t>
      </w:r>
      <w:r w:rsidRPr="00EC7F67">
        <w:rPr>
          <w:rFonts w:ascii="Arial" w:eastAsia="Times New Roman" w:hAnsi="Arial" w:cs="Arial"/>
          <w:color w:val="0F1115"/>
          <w:kern w:val="0"/>
          <w:sz w:val="20"/>
          <w:szCs w:val="20"/>
          <w:lang w:eastAsia="en-GB"/>
          <w14:ligatures w14:val="none"/>
        </w:rPr>
        <w:noBreakHyphen/>
        <w:t xml:space="preserve">provasopressin (the precursor to arginine vasopressin/antidiuretic hormone). It is released in equimolar amounts with vasopressin but is far more stable in plasma, making it a practical surrogate for vasopressin system activation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_Ref229570272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10</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In HF, the AVP system is chronically and pathologically activated due to diminished cardiac output, arterial underfilling</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non</w:t>
      </w:r>
      <w:r w:rsidRPr="00EC7F67">
        <w:rPr>
          <w:rFonts w:ascii="Arial" w:eastAsia="Times New Roman" w:hAnsi="Arial" w:cs="Arial"/>
          <w:color w:val="0F1115"/>
          <w:kern w:val="0"/>
          <w:sz w:val="20"/>
          <w:szCs w:val="20"/>
          <w:lang w:eastAsia="en-GB"/>
          <w14:ligatures w14:val="none"/>
        </w:rPr>
        <w:noBreakHyphen/>
        <w:t>osmotic stimulation of AVP release. This excessive AVP activity contributes to fluid retention, vasoconstriction</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adverse cardiac remodelling — mechanisms that are distinct from and complementary to the wall</w:t>
      </w:r>
      <w:r w:rsidRPr="00EC7F67">
        <w:rPr>
          <w:rFonts w:ascii="Arial" w:eastAsia="Times New Roman" w:hAnsi="Arial" w:cs="Arial"/>
          <w:color w:val="0F1115"/>
          <w:kern w:val="0"/>
          <w:sz w:val="20"/>
          <w:szCs w:val="20"/>
          <w:lang w:eastAsia="en-GB"/>
          <w14:ligatures w14:val="none"/>
        </w:rPr>
        <w:noBreakHyphen/>
        <w:t xml:space="preserve">stress pathways reflected by natriuretic peptides </w:t>
      </w:r>
      <w:r w:rsidR="00647E1D" w:rsidRPr="00647E1D">
        <w:rPr>
          <w:rFonts w:ascii="Arial" w:eastAsia="Times New Roman" w:hAnsi="Arial" w:cs="Arial"/>
          <w:color w:val="0000FF"/>
          <w:kern w:val="0"/>
          <w:sz w:val="20"/>
          <w:szCs w:val="20"/>
          <w:lang w:eastAsia="en-GB"/>
          <w14:ligatures w14:val="none"/>
        </w:rPr>
        <w:t>(</w:t>
      </w:r>
      <w:r w:rsidR="00901D8F">
        <w:rPr>
          <w:rFonts w:ascii="Arial" w:eastAsia="Times New Roman" w:hAnsi="Arial" w:cs="Arial"/>
          <w:color w:val="0000FF"/>
          <w:kern w:val="0"/>
          <w:sz w:val="20"/>
          <w:szCs w:val="20"/>
          <w:lang w:eastAsia="en-GB"/>
          <w14:ligatures w14:val="none"/>
        </w:rPr>
        <w:fldChar w:fldCharType="begin"/>
      </w:r>
      <w:r w:rsidR="00901D8F">
        <w:rPr>
          <w:rFonts w:ascii="Arial" w:eastAsia="Times New Roman" w:hAnsi="Arial" w:cs="Arial"/>
          <w:color w:val="0000FF"/>
          <w:kern w:val="0"/>
          <w:sz w:val="20"/>
          <w:szCs w:val="20"/>
          <w:lang w:eastAsia="en-GB"/>
          <w14:ligatures w14:val="none"/>
        </w:rPr>
        <w:instrText xml:space="preserve"> REF _Ref229581423 \r \h </w:instrText>
      </w:r>
      <w:r w:rsidR="00901D8F">
        <w:rPr>
          <w:rFonts w:ascii="Arial" w:eastAsia="Times New Roman" w:hAnsi="Arial" w:cs="Arial"/>
          <w:color w:val="0000FF"/>
          <w:kern w:val="0"/>
          <w:sz w:val="20"/>
          <w:szCs w:val="20"/>
          <w:lang w:eastAsia="en-GB"/>
          <w14:ligatures w14:val="none"/>
        </w:rPr>
      </w:r>
      <w:r w:rsidR="00901D8F">
        <w:rPr>
          <w:rFonts w:ascii="Arial" w:eastAsia="Times New Roman" w:hAnsi="Arial" w:cs="Arial"/>
          <w:color w:val="0000FF"/>
          <w:kern w:val="0"/>
          <w:sz w:val="20"/>
          <w:szCs w:val="20"/>
          <w:lang w:eastAsia="en-GB"/>
          <w14:ligatures w14:val="none"/>
        </w:rPr>
        <w:fldChar w:fldCharType="separate"/>
      </w:r>
      <w:r w:rsidR="00901D8F">
        <w:rPr>
          <w:rFonts w:ascii="Arial" w:eastAsia="Times New Roman" w:hAnsi="Arial" w:cs="Arial"/>
          <w:color w:val="0000FF"/>
          <w:kern w:val="0"/>
          <w:sz w:val="20"/>
          <w:szCs w:val="20"/>
          <w:lang w:eastAsia="en-GB"/>
          <w14:ligatures w14:val="none"/>
        </w:rPr>
        <w:t>11</w:t>
      </w:r>
      <w:r w:rsidR="00901D8F">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Accumulating evidence supports the prognostic value of copeptin in HF. Elevated copeptin levels have been consistently associated with increased all</w:t>
      </w:r>
      <w:r w:rsidRPr="00EC7F67">
        <w:rPr>
          <w:rFonts w:ascii="Arial" w:eastAsia="Times New Roman" w:hAnsi="Arial" w:cs="Arial"/>
          <w:color w:val="0F1115"/>
          <w:kern w:val="0"/>
          <w:sz w:val="20"/>
          <w:szCs w:val="20"/>
          <w:lang w:eastAsia="en-GB"/>
          <w14:ligatures w14:val="none"/>
        </w:rPr>
        <w:noBreakHyphen/>
        <w:t>cause mortality, cardiovascular death</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HF</w:t>
      </w:r>
      <w:r w:rsidRPr="00EC7F67">
        <w:rPr>
          <w:rFonts w:ascii="Arial" w:eastAsia="Times New Roman" w:hAnsi="Arial" w:cs="Arial"/>
          <w:color w:val="0F1115"/>
          <w:kern w:val="0"/>
          <w:sz w:val="20"/>
          <w:szCs w:val="20"/>
          <w:lang w:eastAsia="en-GB"/>
          <w14:ligatures w14:val="none"/>
        </w:rPr>
        <w:noBreakHyphen/>
        <w:t xml:space="preserve">related rehospitalisation in both acute and chronic HF settings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_Ref229570290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12</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w:t>
      </w:r>
    </w:p>
    <w:p w14:paraId="2077964A" w14:textId="592930CD"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 xml:space="preserve">Although </w:t>
      </w:r>
      <w:r w:rsidR="00337D38">
        <w:rPr>
          <w:rFonts w:ascii="Arial" w:eastAsia="Times New Roman" w:hAnsi="Arial" w:cs="Arial"/>
          <w:color w:val="0F1115"/>
          <w:kern w:val="0"/>
          <w:sz w:val="20"/>
          <w:szCs w:val="20"/>
          <w:lang w:eastAsia="en-GB"/>
          <w14:ligatures w14:val="none"/>
        </w:rPr>
        <w:t xml:space="preserve">NT-proBNP is established in HF guidelines as a cornerstone biomarker for diagnosis, and copeptin has emerged as a surrogate of vasopressin-driven stress activation, most previous studies have evaluated these markers separately or have </w:t>
      </w:r>
      <w:r w:rsidRPr="00EC7F67">
        <w:rPr>
          <w:rFonts w:ascii="Arial" w:eastAsia="Times New Roman" w:hAnsi="Arial" w:cs="Arial"/>
          <w:color w:val="0F1115"/>
          <w:kern w:val="0"/>
          <w:sz w:val="20"/>
          <w:szCs w:val="20"/>
          <w:lang w:eastAsia="en-GB"/>
          <w14:ligatures w14:val="none"/>
        </w:rPr>
        <w:t xml:space="preserve">focused primarily on either diagnostic or prognostic performance. Moreover, limited evidence exists regarding their independent predictive value within the same patient population using combined ROC and </w:t>
      </w:r>
      <w:r w:rsidR="00337D38">
        <w:rPr>
          <w:rFonts w:ascii="Arial" w:eastAsia="Times New Roman" w:hAnsi="Arial" w:cs="Arial"/>
          <w:color w:val="0F1115"/>
          <w:kern w:val="0"/>
          <w:sz w:val="20"/>
          <w:szCs w:val="20"/>
          <w:lang w:eastAsia="en-GB"/>
          <w14:ligatures w14:val="none"/>
        </w:rPr>
        <w:t>regression-based approaches, particularly with respect</w:t>
      </w:r>
      <w:r w:rsidRPr="00EC7F67">
        <w:rPr>
          <w:rFonts w:ascii="Arial" w:eastAsia="Times New Roman" w:hAnsi="Arial" w:cs="Arial"/>
          <w:color w:val="0F1115"/>
          <w:kern w:val="0"/>
          <w:sz w:val="20"/>
          <w:szCs w:val="20"/>
          <w:lang w:eastAsia="en-GB"/>
          <w14:ligatures w14:val="none"/>
        </w:rPr>
        <w:t xml:space="preserve"> to disease severity </w:t>
      </w:r>
      <w:r w:rsidR="00647E1D" w:rsidRPr="00647E1D">
        <w:rPr>
          <w:rFonts w:ascii="Arial" w:eastAsia="Times New Roman" w:hAnsi="Arial" w:cs="Arial"/>
          <w:color w:val="0000FF"/>
          <w:kern w:val="0"/>
          <w:sz w:val="20"/>
          <w:szCs w:val="20"/>
          <w:lang w:eastAsia="en-GB"/>
          <w14:ligatures w14:val="none"/>
        </w:rPr>
        <w:t>(</w:t>
      </w:r>
      <w:r w:rsidR="00901D8F">
        <w:rPr>
          <w:rFonts w:ascii="Arial" w:eastAsia="Times New Roman" w:hAnsi="Arial" w:cs="Arial"/>
          <w:color w:val="0000FF"/>
          <w:kern w:val="0"/>
          <w:sz w:val="20"/>
          <w:szCs w:val="20"/>
          <w:lang w:eastAsia="en-GB"/>
          <w14:ligatures w14:val="none"/>
        </w:rPr>
        <w:fldChar w:fldCharType="begin"/>
      </w:r>
      <w:r w:rsidR="00901D8F">
        <w:rPr>
          <w:rFonts w:ascii="Arial" w:eastAsia="Times New Roman" w:hAnsi="Arial" w:cs="Arial"/>
          <w:color w:val="0000FF"/>
          <w:kern w:val="0"/>
          <w:sz w:val="20"/>
          <w:szCs w:val="20"/>
          <w:lang w:eastAsia="en-GB"/>
          <w14:ligatures w14:val="none"/>
        </w:rPr>
        <w:instrText xml:space="preserve"> REF _Ref229581443 \r \h </w:instrText>
      </w:r>
      <w:r w:rsidR="00901D8F">
        <w:rPr>
          <w:rFonts w:ascii="Arial" w:eastAsia="Times New Roman" w:hAnsi="Arial" w:cs="Arial"/>
          <w:color w:val="0000FF"/>
          <w:kern w:val="0"/>
          <w:sz w:val="20"/>
          <w:szCs w:val="20"/>
          <w:lang w:eastAsia="en-GB"/>
          <w14:ligatures w14:val="none"/>
        </w:rPr>
      </w:r>
      <w:r w:rsidR="00901D8F">
        <w:rPr>
          <w:rFonts w:ascii="Arial" w:eastAsia="Times New Roman" w:hAnsi="Arial" w:cs="Arial"/>
          <w:color w:val="0000FF"/>
          <w:kern w:val="0"/>
          <w:sz w:val="20"/>
          <w:szCs w:val="20"/>
          <w:lang w:eastAsia="en-GB"/>
          <w14:ligatures w14:val="none"/>
        </w:rPr>
        <w:fldChar w:fldCharType="separate"/>
      </w:r>
      <w:r w:rsidR="00901D8F">
        <w:rPr>
          <w:rFonts w:ascii="Arial" w:eastAsia="Times New Roman" w:hAnsi="Arial" w:cs="Arial"/>
          <w:color w:val="0000FF"/>
          <w:kern w:val="0"/>
          <w:sz w:val="20"/>
          <w:szCs w:val="20"/>
          <w:lang w:eastAsia="en-GB"/>
          <w14:ligatures w14:val="none"/>
        </w:rPr>
        <w:t>13</w:t>
      </w:r>
      <w:r w:rsidR="00901D8F">
        <w:rPr>
          <w:rFonts w:ascii="Arial" w:eastAsia="Times New Roman" w:hAnsi="Arial" w:cs="Arial"/>
          <w:color w:val="0000FF"/>
          <w:kern w:val="0"/>
          <w:sz w:val="20"/>
          <w:szCs w:val="20"/>
          <w:lang w:eastAsia="en-GB"/>
          <w14:ligatures w14:val="none"/>
        </w:rPr>
        <w:fldChar w:fldCharType="end"/>
      </w:r>
      <w:r w:rsidRPr="00647E1D">
        <w:rPr>
          <w:rFonts w:ascii="Arial" w:eastAsia="Times New Roman" w:hAnsi="Arial" w:cs="Arial"/>
          <w:color w:val="0000FF"/>
          <w:kern w:val="0"/>
          <w:sz w:val="20"/>
          <w:szCs w:val="20"/>
          <w:lang w:eastAsia="en-GB"/>
          <w14:ligatures w14:val="none"/>
        </w:rPr>
        <w:t>,</w:t>
      </w:r>
      <w:r w:rsidR="00647E1D" w:rsidRPr="00647E1D">
        <w:rPr>
          <w:rFonts w:ascii="Arial" w:eastAsia="Times New Roman" w:hAnsi="Arial" w:cs="Arial"/>
          <w:color w:val="0000FF"/>
          <w:kern w:val="0"/>
          <w:sz w:val="20"/>
          <w:szCs w:val="20"/>
          <w:lang w:eastAsia="en-GB"/>
          <w14:ligatures w14:val="none"/>
        </w:rPr>
        <w:t xml:space="preserve"> </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_Ref229570311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14</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Therefore, the relative diagnostic and predictive value of NT</w:t>
      </w:r>
      <w:r w:rsidRPr="00EC7F67">
        <w:rPr>
          <w:rFonts w:ascii="Arial" w:eastAsia="Times New Roman" w:hAnsi="Arial" w:cs="Arial"/>
          <w:color w:val="0F1115"/>
          <w:kern w:val="0"/>
          <w:sz w:val="20"/>
          <w:szCs w:val="20"/>
          <w:lang w:eastAsia="en-GB"/>
          <w14:ligatures w14:val="none"/>
        </w:rPr>
        <w:noBreakHyphen/>
        <w:t xml:space="preserve">proBNP and copeptin </w:t>
      </w:r>
      <w:r w:rsidR="00337D38">
        <w:rPr>
          <w:rFonts w:ascii="Arial" w:eastAsia="Times New Roman" w:hAnsi="Arial" w:cs="Arial"/>
          <w:color w:val="0F1115"/>
          <w:kern w:val="0"/>
          <w:sz w:val="20"/>
          <w:szCs w:val="20"/>
          <w:lang w:eastAsia="en-GB"/>
          <w14:ligatures w14:val="none"/>
        </w:rPr>
        <w:t>remains</w:t>
      </w:r>
      <w:r w:rsidRPr="00EC7F67">
        <w:rPr>
          <w:rFonts w:ascii="Arial" w:eastAsia="Times New Roman" w:hAnsi="Arial" w:cs="Arial"/>
          <w:color w:val="0F1115"/>
          <w:kern w:val="0"/>
          <w:sz w:val="20"/>
          <w:szCs w:val="20"/>
          <w:lang w:eastAsia="en-GB"/>
          <w14:ligatures w14:val="none"/>
        </w:rPr>
        <w:t xml:space="preserve"> insufficiently defined. The present study aimed to evaluate and compare the diagnostic and predictive capacities of these two biomarkers in HF and to determine their respective associations with the severity of systolic dysfunction.</w:t>
      </w:r>
    </w:p>
    <w:p w14:paraId="26CD565F" w14:textId="078EAE41" w:rsidR="00D73BFC" w:rsidRPr="00EC7F67" w:rsidRDefault="00D73BFC" w:rsidP="00EC7F67">
      <w:pPr>
        <w:spacing w:after="0" w:line="240" w:lineRule="auto"/>
        <w:jc w:val="both"/>
        <w:rPr>
          <w:rFonts w:ascii="Arial" w:eastAsia="Times New Roman" w:hAnsi="Arial" w:cs="Arial"/>
          <w:kern w:val="0"/>
          <w:sz w:val="20"/>
          <w:szCs w:val="20"/>
          <w:lang w:eastAsia="en-GB"/>
          <w14:ligatures w14:val="none"/>
        </w:rPr>
      </w:pPr>
    </w:p>
    <w:p w14:paraId="2E774AE9" w14:textId="77777777" w:rsidR="00D73BFC" w:rsidRPr="00EC7F67" w:rsidRDefault="00D73BFC" w:rsidP="00EC7F67">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EC7F67">
        <w:rPr>
          <w:rFonts w:ascii="Arial" w:eastAsia="Times New Roman" w:hAnsi="Arial" w:cs="Arial"/>
          <w:b/>
          <w:bCs/>
          <w:color w:val="0F1115"/>
          <w:kern w:val="0"/>
          <w:sz w:val="20"/>
          <w:szCs w:val="20"/>
          <w:lang w:eastAsia="en-GB"/>
          <w14:ligatures w14:val="none"/>
        </w:rPr>
        <w:t>Materials and Methods</w:t>
      </w:r>
    </w:p>
    <w:p w14:paraId="3181A2AA" w14:textId="77777777" w:rsidR="00D73BFC" w:rsidRPr="00337D38"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337D38">
        <w:rPr>
          <w:rFonts w:ascii="Arial" w:eastAsia="Times New Roman" w:hAnsi="Arial" w:cs="Arial"/>
          <w:i/>
          <w:iCs/>
          <w:color w:val="0F1115"/>
          <w:kern w:val="0"/>
          <w:sz w:val="20"/>
          <w:szCs w:val="20"/>
          <w:lang w:eastAsia="en-GB"/>
          <w14:ligatures w14:val="none"/>
        </w:rPr>
        <w:t>Study design and participants</w:t>
      </w:r>
    </w:p>
    <w:p w14:paraId="554A1B50" w14:textId="0844E428"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A case</w:t>
      </w:r>
      <w:r w:rsidRPr="00EC7F67">
        <w:rPr>
          <w:rFonts w:ascii="Arial" w:eastAsia="Times New Roman" w:hAnsi="Arial" w:cs="Arial"/>
          <w:color w:val="0F1115"/>
          <w:kern w:val="0"/>
          <w:sz w:val="20"/>
          <w:szCs w:val="20"/>
          <w:lang w:eastAsia="en-GB"/>
          <w14:ligatures w14:val="none"/>
        </w:rPr>
        <w:noBreakHyphen/>
        <w:t>control study was carried out at Marjan Teaching Hospital and Shaheed Al</w:t>
      </w:r>
      <w:r w:rsidRPr="00EC7F67">
        <w:rPr>
          <w:rFonts w:ascii="Arial" w:eastAsia="Times New Roman" w:hAnsi="Arial" w:cs="Arial"/>
          <w:color w:val="0F1115"/>
          <w:kern w:val="0"/>
          <w:sz w:val="20"/>
          <w:szCs w:val="20"/>
          <w:lang w:eastAsia="en-GB"/>
          <w14:ligatures w14:val="none"/>
        </w:rPr>
        <w:noBreakHyphen/>
        <w:t>Mihrab Centr</w:t>
      </w:r>
      <w:r w:rsidR="00337D38">
        <w:rPr>
          <w:rFonts w:ascii="Arial" w:eastAsia="Times New Roman" w:hAnsi="Arial" w:cs="Arial"/>
          <w:color w:val="0F1115"/>
          <w:kern w:val="0"/>
          <w:sz w:val="20"/>
          <w:szCs w:val="20"/>
          <w:lang w:eastAsia="en-GB"/>
          <w14:ligatures w14:val="none"/>
        </w:rPr>
        <w:t>e</w:t>
      </w:r>
      <w:r w:rsidRPr="00EC7F67">
        <w:rPr>
          <w:rFonts w:ascii="Arial" w:eastAsia="Times New Roman" w:hAnsi="Arial" w:cs="Arial"/>
          <w:color w:val="0F1115"/>
          <w:kern w:val="0"/>
          <w:sz w:val="20"/>
          <w:szCs w:val="20"/>
          <w:lang w:eastAsia="en-GB"/>
          <w14:ligatures w14:val="none"/>
        </w:rPr>
        <w:t xml:space="preserve"> for Cardiac Disease in Hilla City, Babylon Governorate, Iraq. Participants were enrolled between November 2025 and March 2026. The study population consisted of two groups: a patient group comprising 60 individuals diagnosed with HF according to clinical history, physical examination, electrocardiography (ECG)</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echocardiography, and a control group comprising 60 apparently healthy individuals with no history of cardiovascular disease. The age of the patients ranged from 40 to 80 years (mean 66.9 ± 10.3 years), while the </w:t>
      </w:r>
      <w:r w:rsidRPr="00EC7F67">
        <w:rPr>
          <w:rFonts w:ascii="Arial" w:eastAsia="Times New Roman" w:hAnsi="Arial" w:cs="Arial"/>
          <w:color w:val="0F1115"/>
          <w:kern w:val="0"/>
          <w:sz w:val="20"/>
          <w:szCs w:val="20"/>
          <w:lang w:eastAsia="en-GB"/>
          <w14:ligatures w14:val="none"/>
        </w:rPr>
        <w:lastRenderedPageBreak/>
        <w:t>control group had an age range of 30 to 80 years (mean 61.1 ± 9.0 years).</w:t>
      </w:r>
    </w:p>
    <w:p w14:paraId="1706B7D0" w14:textId="3CAD5B03"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Inclusion criteria for the patient group were: a diagnosis of HF based on the above investigations, and age between 40 and 80 years. Exclusion criteria for all participants included chronic kidney disease, chronic liver disease, active cancer, severe pulmonary conditions, coronary heart disease</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acute myocardial infarction. The exclusion of patients with coronary heart disease was intended to avoid confounding from active ischaemia, though we acknowledge this limits generalisability to the broader HF population in whom ischaemic aetiology predominates.</w:t>
      </w:r>
    </w:p>
    <w:p w14:paraId="4F991911" w14:textId="77777777" w:rsidR="00337D38" w:rsidRPr="00EC7F67" w:rsidRDefault="00337D38"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7C661AE" w14:textId="77777777" w:rsidR="00D73BFC" w:rsidRPr="00337D38"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337D38">
        <w:rPr>
          <w:rFonts w:ascii="Arial" w:eastAsia="Times New Roman" w:hAnsi="Arial" w:cs="Arial"/>
          <w:i/>
          <w:iCs/>
          <w:color w:val="0F1115"/>
          <w:kern w:val="0"/>
          <w:sz w:val="20"/>
          <w:szCs w:val="20"/>
          <w:lang w:eastAsia="en-GB"/>
          <w14:ligatures w14:val="none"/>
        </w:rPr>
        <w:t>Echocardiographic assessment</w:t>
      </w:r>
    </w:p>
    <w:p w14:paraId="109E361E" w14:textId="7903A25D"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Transthoracic echocardiography was performed on all patients using a standard protocol. Left ventricular ejection fraction (LVEF) was measured using the biplane Simpson’s method. Systolic dysfunction severity was categorised as mild (LVEF 45–54%), moderate (LVEF 30–44%)</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or severe (LVEF &lt;30%) according to current guidelines. Among the 60 HF patients, 19 (31.7%) had mild systolic dysfunction, 21 (35.0%) moderate</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20 (33.3%) severe dysfunction.</w:t>
      </w:r>
    </w:p>
    <w:p w14:paraId="65032AAD" w14:textId="77777777" w:rsidR="00337D38" w:rsidRPr="00EC7F67" w:rsidRDefault="00337D38"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08ED193" w14:textId="77777777" w:rsidR="00D73BFC" w:rsidRPr="00337D38"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337D38">
        <w:rPr>
          <w:rFonts w:ascii="Arial" w:eastAsia="Times New Roman" w:hAnsi="Arial" w:cs="Arial"/>
          <w:i/>
          <w:iCs/>
          <w:color w:val="0F1115"/>
          <w:kern w:val="0"/>
          <w:sz w:val="20"/>
          <w:szCs w:val="20"/>
          <w:lang w:eastAsia="en-GB"/>
          <w14:ligatures w14:val="none"/>
        </w:rPr>
        <w:t>Biochemical analysis</w:t>
      </w:r>
    </w:p>
    <w:p w14:paraId="220AC27B" w14:textId="74EECEBB"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Venous blood samples were collected from all participants after an overnight fast. Serum was separated by centrifugation and stored at −80°C until analysis. Serum levels of NT</w:t>
      </w:r>
      <w:r w:rsidRPr="00EC7F67">
        <w:rPr>
          <w:rFonts w:ascii="Arial" w:eastAsia="Times New Roman" w:hAnsi="Arial" w:cs="Arial"/>
          <w:color w:val="0F1115"/>
          <w:kern w:val="0"/>
          <w:sz w:val="20"/>
          <w:szCs w:val="20"/>
          <w:lang w:eastAsia="en-GB"/>
          <w14:ligatures w14:val="none"/>
        </w:rPr>
        <w:noBreakHyphen/>
        <w:t>proBNP (catalogue E1239Hu) and copeptin (catalogue E1129Hu) were quantified using commercially available sandwich enzyme</w:t>
      </w:r>
      <w:r w:rsidRPr="00EC7F67">
        <w:rPr>
          <w:rFonts w:ascii="Arial" w:eastAsia="Times New Roman" w:hAnsi="Arial" w:cs="Arial"/>
          <w:color w:val="0F1115"/>
          <w:kern w:val="0"/>
          <w:sz w:val="20"/>
          <w:szCs w:val="20"/>
          <w:lang w:eastAsia="en-GB"/>
          <w14:ligatures w14:val="none"/>
        </w:rPr>
        <w:noBreakHyphen/>
        <w:t>linked immunosorbent assay (ELISA) kits (Bioassay Technology Laboratory, Shanghai, China) according to the manufacturer’s instructions. The assays had intra</w:t>
      </w:r>
      <w:r w:rsidRPr="00EC7F67">
        <w:rPr>
          <w:rFonts w:ascii="Arial" w:eastAsia="Times New Roman" w:hAnsi="Arial" w:cs="Arial"/>
          <w:color w:val="0F1115"/>
          <w:kern w:val="0"/>
          <w:sz w:val="20"/>
          <w:szCs w:val="20"/>
          <w:lang w:eastAsia="en-GB"/>
          <w14:ligatures w14:val="none"/>
        </w:rPr>
        <w:noBreakHyphen/>
        <w:t>assay and inter</w:t>
      </w:r>
      <w:r w:rsidRPr="00EC7F67">
        <w:rPr>
          <w:rFonts w:ascii="Arial" w:eastAsia="Times New Roman" w:hAnsi="Arial" w:cs="Arial"/>
          <w:color w:val="0F1115"/>
          <w:kern w:val="0"/>
          <w:sz w:val="20"/>
          <w:szCs w:val="20"/>
          <w:lang w:eastAsia="en-GB"/>
          <w14:ligatures w14:val="none"/>
        </w:rPr>
        <w:noBreakHyphen/>
        <w:t>assay coefficients of variation below 10% as reported by the manufacturer. Serum total cholesterol, triglycerides (TG)</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high</w:t>
      </w:r>
      <w:r w:rsidRPr="00EC7F67">
        <w:rPr>
          <w:rFonts w:ascii="Arial" w:eastAsia="Times New Roman" w:hAnsi="Arial" w:cs="Arial"/>
          <w:color w:val="0F1115"/>
          <w:kern w:val="0"/>
          <w:sz w:val="20"/>
          <w:szCs w:val="20"/>
          <w:lang w:eastAsia="en-GB"/>
          <w14:ligatures w14:val="none"/>
        </w:rPr>
        <w:noBreakHyphen/>
        <w:t>density lipoprotein cholesterol (HDL</w:t>
      </w:r>
      <w:r w:rsidRPr="00EC7F67">
        <w:rPr>
          <w:rFonts w:ascii="Arial" w:eastAsia="Times New Roman" w:hAnsi="Arial" w:cs="Arial"/>
          <w:color w:val="0F1115"/>
          <w:kern w:val="0"/>
          <w:sz w:val="20"/>
          <w:szCs w:val="20"/>
          <w:lang w:eastAsia="en-GB"/>
          <w14:ligatures w14:val="none"/>
        </w:rPr>
        <w:noBreakHyphen/>
        <w:t xml:space="preserve">C) were measured immediately using a fully automated Fujifilm NX700 analyser (Japan) employing </w:t>
      </w:r>
      <w:r w:rsidR="00337D38">
        <w:rPr>
          <w:rFonts w:ascii="Arial" w:eastAsia="Times New Roman" w:hAnsi="Arial" w:cs="Arial"/>
          <w:color w:val="0F1115"/>
          <w:kern w:val="0"/>
          <w:sz w:val="20"/>
          <w:szCs w:val="20"/>
          <w:lang w:eastAsia="en-GB"/>
          <w14:ligatures w14:val="none"/>
        </w:rPr>
        <w:t xml:space="preserve">a </w:t>
      </w:r>
      <w:r w:rsidRPr="00EC7F67">
        <w:rPr>
          <w:rFonts w:ascii="Arial" w:eastAsia="Times New Roman" w:hAnsi="Arial" w:cs="Arial"/>
          <w:color w:val="0F1115"/>
          <w:kern w:val="0"/>
          <w:sz w:val="20"/>
          <w:szCs w:val="20"/>
          <w:lang w:eastAsia="en-GB"/>
          <w14:ligatures w14:val="none"/>
        </w:rPr>
        <w:t>dry chemistry technique. Low</w:t>
      </w:r>
      <w:r w:rsidRPr="00EC7F67">
        <w:rPr>
          <w:rFonts w:ascii="Arial" w:eastAsia="Times New Roman" w:hAnsi="Arial" w:cs="Arial"/>
          <w:color w:val="0F1115"/>
          <w:kern w:val="0"/>
          <w:sz w:val="20"/>
          <w:szCs w:val="20"/>
          <w:lang w:eastAsia="en-GB"/>
          <w14:ligatures w14:val="none"/>
        </w:rPr>
        <w:noBreakHyphen/>
        <w:t>density lipoprotein cholesterol (LDL</w:t>
      </w:r>
      <w:r w:rsidRPr="00EC7F67">
        <w:rPr>
          <w:rFonts w:ascii="Arial" w:eastAsia="Times New Roman" w:hAnsi="Arial" w:cs="Arial"/>
          <w:color w:val="0F1115"/>
          <w:kern w:val="0"/>
          <w:sz w:val="20"/>
          <w:szCs w:val="20"/>
          <w:lang w:eastAsia="en-GB"/>
          <w14:ligatures w14:val="none"/>
        </w:rPr>
        <w:noBreakHyphen/>
        <w:t>C) and very low</w:t>
      </w:r>
      <w:r w:rsidRPr="00EC7F67">
        <w:rPr>
          <w:rFonts w:ascii="Arial" w:eastAsia="Times New Roman" w:hAnsi="Arial" w:cs="Arial"/>
          <w:color w:val="0F1115"/>
          <w:kern w:val="0"/>
          <w:sz w:val="20"/>
          <w:szCs w:val="20"/>
          <w:lang w:eastAsia="en-GB"/>
          <w14:ligatures w14:val="none"/>
        </w:rPr>
        <w:noBreakHyphen/>
        <w:t>density lipoprotein cholesterol (VLDL</w:t>
      </w:r>
      <w:r w:rsidRPr="00EC7F67">
        <w:rPr>
          <w:rFonts w:ascii="Arial" w:eastAsia="Times New Roman" w:hAnsi="Arial" w:cs="Arial"/>
          <w:color w:val="0F1115"/>
          <w:kern w:val="0"/>
          <w:sz w:val="20"/>
          <w:szCs w:val="20"/>
          <w:lang w:eastAsia="en-GB"/>
          <w14:ligatures w14:val="none"/>
        </w:rPr>
        <w:noBreakHyphen/>
        <w:t>C) were calculated using Friedewald’s formulae: LDL</w:t>
      </w:r>
      <w:r w:rsidRPr="00EC7F67">
        <w:rPr>
          <w:rFonts w:ascii="Arial" w:eastAsia="Times New Roman" w:hAnsi="Arial" w:cs="Arial"/>
          <w:color w:val="0F1115"/>
          <w:kern w:val="0"/>
          <w:sz w:val="20"/>
          <w:szCs w:val="20"/>
          <w:lang w:eastAsia="en-GB"/>
          <w14:ligatures w14:val="none"/>
        </w:rPr>
        <w:noBreakHyphen/>
        <w:t>C = total cholesterol – HDL</w:t>
      </w:r>
      <w:r w:rsidRPr="00EC7F67">
        <w:rPr>
          <w:rFonts w:ascii="Arial" w:eastAsia="Times New Roman" w:hAnsi="Arial" w:cs="Arial"/>
          <w:color w:val="0F1115"/>
          <w:kern w:val="0"/>
          <w:sz w:val="20"/>
          <w:szCs w:val="20"/>
          <w:lang w:eastAsia="en-GB"/>
          <w14:ligatures w14:val="none"/>
        </w:rPr>
        <w:noBreakHyphen/>
        <w:t>C – (TG/5) and VLDL</w:t>
      </w:r>
      <w:r w:rsidRPr="00EC7F67">
        <w:rPr>
          <w:rFonts w:ascii="Arial" w:eastAsia="Times New Roman" w:hAnsi="Arial" w:cs="Arial"/>
          <w:color w:val="0F1115"/>
          <w:kern w:val="0"/>
          <w:sz w:val="20"/>
          <w:szCs w:val="20"/>
          <w:lang w:eastAsia="en-GB"/>
          <w14:ligatures w14:val="none"/>
        </w:rPr>
        <w:noBreakHyphen/>
        <w:t>C = TG/5, with all values expressed in mg/dL.</w:t>
      </w:r>
    </w:p>
    <w:p w14:paraId="395DA8BA" w14:textId="77777777" w:rsidR="00337D38" w:rsidRPr="00EC7F67" w:rsidRDefault="00337D38"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1D3A681" w14:textId="77777777" w:rsidR="00D73BFC" w:rsidRPr="00337D38"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337D38">
        <w:rPr>
          <w:rFonts w:ascii="Arial" w:eastAsia="Times New Roman" w:hAnsi="Arial" w:cs="Arial"/>
          <w:i/>
          <w:iCs/>
          <w:color w:val="0F1115"/>
          <w:kern w:val="0"/>
          <w:sz w:val="20"/>
          <w:szCs w:val="20"/>
          <w:lang w:eastAsia="en-GB"/>
          <w14:ligatures w14:val="none"/>
        </w:rPr>
        <w:t>Statistical analysis</w:t>
      </w:r>
    </w:p>
    <w:p w14:paraId="7FA750B7" w14:textId="77777777"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 xml:space="preserve">All statistical analyses were performed using SPSS software version 26 (IBM Corp., Armonk, NY, USA). Continuous variables were expressed </w:t>
      </w:r>
      <w:r w:rsidRPr="00EC7F67">
        <w:rPr>
          <w:rFonts w:ascii="Arial" w:eastAsia="Times New Roman" w:hAnsi="Arial" w:cs="Arial"/>
          <w:color w:val="0F1115"/>
          <w:kern w:val="0"/>
          <w:sz w:val="20"/>
          <w:szCs w:val="20"/>
          <w:lang w:eastAsia="en-GB"/>
          <w14:ligatures w14:val="none"/>
        </w:rPr>
        <w:t>as mean ± standard deviation (SD) and categorical variables as frequencies and percentages. Comparisons between the HF and control groups were made using an unpaired Student’s t</w:t>
      </w:r>
      <w:r w:rsidRPr="00EC7F67">
        <w:rPr>
          <w:rFonts w:ascii="Arial" w:eastAsia="Times New Roman" w:hAnsi="Arial" w:cs="Arial"/>
          <w:color w:val="0F1115"/>
          <w:kern w:val="0"/>
          <w:sz w:val="20"/>
          <w:szCs w:val="20"/>
          <w:lang w:eastAsia="en-GB"/>
          <w14:ligatures w14:val="none"/>
        </w:rPr>
        <w:noBreakHyphen/>
        <w:t>test for continuous variables and the chi</w:t>
      </w:r>
      <w:r w:rsidRPr="00EC7F67">
        <w:rPr>
          <w:rFonts w:ascii="Arial" w:eastAsia="Times New Roman" w:hAnsi="Arial" w:cs="Arial"/>
          <w:color w:val="0F1115"/>
          <w:kern w:val="0"/>
          <w:sz w:val="20"/>
          <w:szCs w:val="20"/>
          <w:lang w:eastAsia="en-GB"/>
          <w14:ligatures w14:val="none"/>
        </w:rPr>
        <w:noBreakHyphen/>
        <w:t>squared (χ²) test for categorical variables. Since multiple comparisons were performed, a p</w:t>
      </w:r>
      <w:r w:rsidRPr="00EC7F67">
        <w:rPr>
          <w:rFonts w:ascii="Arial" w:eastAsia="Times New Roman" w:hAnsi="Arial" w:cs="Arial"/>
          <w:color w:val="0F1115"/>
          <w:kern w:val="0"/>
          <w:sz w:val="20"/>
          <w:szCs w:val="20"/>
          <w:lang w:eastAsia="en-GB"/>
          <w14:ligatures w14:val="none"/>
        </w:rPr>
        <w:noBreakHyphen/>
        <w:t>value &lt;0.01 was considered statistically significant to partially adjust for Type I error, though we acknowledge that no formal correction (e.g., Bonferroni) was applied.</w:t>
      </w:r>
    </w:p>
    <w:p w14:paraId="50D082FA" w14:textId="0D3CCF4B"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Diagnostic performance of NT</w:t>
      </w:r>
      <w:r w:rsidRPr="00EC7F67">
        <w:rPr>
          <w:rFonts w:ascii="Arial" w:eastAsia="Times New Roman" w:hAnsi="Arial" w:cs="Arial"/>
          <w:color w:val="0F1115"/>
          <w:kern w:val="0"/>
          <w:sz w:val="20"/>
          <w:szCs w:val="20"/>
          <w:lang w:eastAsia="en-GB"/>
          <w14:ligatures w14:val="none"/>
        </w:rPr>
        <w:noBreakHyphen/>
        <w:t>proBNP and copeptin was evaluated using receiver operating characteristic (ROC) curve analysis. The area under the curve (AUC), sensitivity, specificity</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optimal cut</w:t>
      </w:r>
      <w:r w:rsidRPr="00EC7F67">
        <w:rPr>
          <w:rFonts w:ascii="Arial" w:eastAsia="Times New Roman" w:hAnsi="Arial" w:cs="Arial"/>
          <w:color w:val="0F1115"/>
          <w:kern w:val="0"/>
          <w:sz w:val="20"/>
          <w:szCs w:val="20"/>
          <w:lang w:eastAsia="en-GB"/>
          <w14:ligatures w14:val="none"/>
        </w:rPr>
        <w:noBreakHyphen/>
        <w:t>off values (determined by Youden’s index) were derived with 95% confidence intervals (CIs). Pearson’s correlation coefficient (r) was used to assess relationships between biomarker levels and clinical parameters. Binary logistic regression (enter method) was performed to identify independent predictors of HF diagnosis, while ordinal logistic regression (proportional odds model) was used to evaluate predictors of systolic dysfunction severity. The proportional odds assumption was checked using the test of parallel lines. The sample size was determined by convenience based on the number of eligible patients presenting during the study period; a post</w:t>
      </w:r>
      <w:r w:rsidRPr="00EC7F67">
        <w:rPr>
          <w:rFonts w:ascii="Arial" w:eastAsia="Times New Roman" w:hAnsi="Arial" w:cs="Arial"/>
          <w:color w:val="0F1115"/>
          <w:kern w:val="0"/>
          <w:sz w:val="20"/>
          <w:szCs w:val="20"/>
          <w:lang w:eastAsia="en-GB"/>
          <w14:ligatures w14:val="none"/>
        </w:rPr>
        <w:noBreakHyphen/>
        <w:t>hoc power calculation indicated that with 60 patients per group, the study had 80% power to detect an AUC difference of 0.15 at α=0.05.</w:t>
      </w:r>
    </w:p>
    <w:p w14:paraId="6A3D8C75" w14:textId="70EBB6B7" w:rsidR="00D73BFC" w:rsidRPr="00EC7F67" w:rsidRDefault="00D73BFC" w:rsidP="00EC7F67">
      <w:pPr>
        <w:spacing w:after="0" w:line="240" w:lineRule="auto"/>
        <w:jc w:val="both"/>
        <w:rPr>
          <w:rFonts w:ascii="Arial" w:eastAsia="Times New Roman" w:hAnsi="Arial" w:cs="Arial"/>
          <w:kern w:val="0"/>
          <w:sz w:val="20"/>
          <w:szCs w:val="20"/>
          <w:lang w:eastAsia="en-GB"/>
          <w14:ligatures w14:val="none"/>
        </w:rPr>
      </w:pPr>
    </w:p>
    <w:p w14:paraId="564243F6" w14:textId="77777777" w:rsidR="00D73BFC" w:rsidRPr="00EC7F67" w:rsidRDefault="00D73BFC" w:rsidP="00EC7F67">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EC7F67">
        <w:rPr>
          <w:rFonts w:ascii="Arial" w:eastAsia="Times New Roman" w:hAnsi="Arial" w:cs="Arial"/>
          <w:b/>
          <w:bCs/>
          <w:color w:val="0F1115"/>
          <w:kern w:val="0"/>
          <w:sz w:val="20"/>
          <w:szCs w:val="20"/>
          <w:lang w:eastAsia="en-GB"/>
          <w14:ligatures w14:val="none"/>
        </w:rPr>
        <w:t>Results</w:t>
      </w:r>
    </w:p>
    <w:p w14:paraId="47361DF1" w14:textId="77777777" w:rsidR="00D73BFC" w:rsidRPr="001B4AD5"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1B4AD5">
        <w:rPr>
          <w:rFonts w:ascii="Arial" w:eastAsia="Times New Roman" w:hAnsi="Arial" w:cs="Arial"/>
          <w:i/>
          <w:iCs/>
          <w:color w:val="0F1115"/>
          <w:kern w:val="0"/>
          <w:sz w:val="20"/>
          <w:szCs w:val="20"/>
          <w:lang w:eastAsia="en-GB"/>
          <w14:ligatures w14:val="none"/>
        </w:rPr>
        <w:t>Baseline characteristics</w:t>
      </w:r>
    </w:p>
    <w:p w14:paraId="02277DC5" w14:textId="4D7E0283"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Table 1 summarises the baseline demographic, clinical</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biochemical data for the 60 HF patients and 60 healthy controls. No significant differences were observed between the two groups in age (p=0.112), gender distribution (p=0.221)</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or body mass index (BMI; p=0.09). As expected, ejection fraction was significantly lower in the HF group (36.7 ± 7.8% vs. 79.1 ± 4.7%; p=0.001). </w:t>
      </w:r>
      <w:r w:rsidR="0023412E" w:rsidRPr="0023412E">
        <w:rPr>
          <w:rFonts w:ascii="Arial" w:eastAsia="Times New Roman" w:hAnsi="Arial" w:cs="Arial"/>
          <w:color w:val="0F1115"/>
          <w:kern w:val="0"/>
          <w:sz w:val="20"/>
          <w:szCs w:val="20"/>
          <w:lang w:eastAsia="en-GB"/>
          <w14:ligatures w14:val="none"/>
        </w:rPr>
        <w:t>HF patients exhibited a lipid profile characterised by significantly higher total cholesterol, triglycerides, and HDL</w:t>
      </w:r>
      <w:r w:rsidR="0023412E" w:rsidRPr="0023412E">
        <w:rPr>
          <w:rFonts w:ascii="Cambria Math" w:eastAsia="Times New Roman" w:hAnsi="Cambria Math" w:cs="Cambria Math"/>
          <w:color w:val="0F1115"/>
          <w:kern w:val="0"/>
          <w:sz w:val="20"/>
          <w:szCs w:val="20"/>
          <w:lang w:eastAsia="en-GB"/>
          <w14:ligatures w14:val="none"/>
        </w:rPr>
        <w:t>‑</w:t>
      </w:r>
      <w:r w:rsidR="0023412E" w:rsidRPr="0023412E">
        <w:rPr>
          <w:rFonts w:ascii="Arial" w:eastAsia="Times New Roman" w:hAnsi="Arial" w:cs="Arial"/>
          <w:color w:val="0F1115"/>
          <w:kern w:val="0"/>
          <w:sz w:val="20"/>
          <w:szCs w:val="20"/>
          <w:lang w:eastAsia="en-GB"/>
          <w14:ligatures w14:val="none"/>
        </w:rPr>
        <w:t>C compared with controls (all p&lt;0.001). After recalculation using Friedewald’s formula, VLDL and LDL were also significantly higher in HF patients than in controls (both p&lt;0.0001).</w:t>
      </w:r>
      <w:r w:rsidRPr="00EC7F67">
        <w:rPr>
          <w:rFonts w:ascii="Arial" w:eastAsia="Times New Roman" w:hAnsi="Arial" w:cs="Arial"/>
          <w:color w:val="0F1115"/>
          <w:kern w:val="0"/>
          <w:sz w:val="20"/>
          <w:szCs w:val="20"/>
          <w:lang w:eastAsia="en-GB"/>
          <w14:ligatures w14:val="none"/>
        </w:rPr>
        <w:t xml:space="preserve"> Of particular note, serum levels of both NT</w:t>
      </w:r>
      <w:r w:rsidRPr="00EC7F67">
        <w:rPr>
          <w:rFonts w:ascii="Arial" w:eastAsia="Times New Roman" w:hAnsi="Arial" w:cs="Arial"/>
          <w:color w:val="0F1115"/>
          <w:kern w:val="0"/>
          <w:sz w:val="20"/>
          <w:szCs w:val="20"/>
          <w:lang w:eastAsia="en-GB"/>
          <w14:ligatures w14:val="none"/>
        </w:rPr>
        <w:noBreakHyphen/>
        <w:t>proBNP (7.30 ± 2.89 ng/mL vs. 4.41 ± 1.03 ng/mL; p&lt;0.0001) and copeptin (3.27 ± 1.72 ng/L vs. 1.67 ± 0.83 ng/L; p&lt;0.001) were markedly elevated in HF patients compared with healthy controls.</w:t>
      </w:r>
    </w:p>
    <w:p w14:paraId="121ADFE4" w14:textId="77777777" w:rsidR="001659D7" w:rsidRDefault="001659D7" w:rsidP="00B2417F">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sectPr w:rsidR="001659D7" w:rsidSect="001659D7">
          <w:type w:val="continuous"/>
          <w:pgSz w:w="11906" w:h="16838"/>
          <w:pgMar w:top="1440" w:right="1440" w:bottom="1440" w:left="1440" w:header="720" w:footer="720" w:gutter="0"/>
          <w:cols w:num="2" w:space="432"/>
          <w:titlePg/>
          <w:docGrid w:linePitch="360"/>
        </w:sectPr>
      </w:pPr>
    </w:p>
    <w:p w14:paraId="6ECF0A1E" w14:textId="77777777" w:rsidR="00EB4694" w:rsidRDefault="00EB4694" w:rsidP="00B2417F">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p>
    <w:p w14:paraId="5F8456DC" w14:textId="77777777" w:rsidR="001659D7" w:rsidRDefault="001659D7" w:rsidP="00B2417F">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p>
    <w:p w14:paraId="257F4EE6" w14:textId="77777777" w:rsidR="001659D7" w:rsidRDefault="001659D7" w:rsidP="00B2417F">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p>
    <w:p w14:paraId="4010B287" w14:textId="24CD309F" w:rsidR="00D73BFC" w:rsidRDefault="00D73BFC" w:rsidP="00B44296">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EC5044">
        <w:rPr>
          <w:rFonts w:ascii="Arial" w:eastAsia="Times New Roman" w:hAnsi="Arial" w:cs="Arial"/>
          <w:b/>
          <w:bCs/>
          <w:color w:val="0F1115"/>
          <w:kern w:val="0"/>
          <w:sz w:val="20"/>
          <w:szCs w:val="20"/>
          <w:lang w:eastAsia="en-GB"/>
          <w14:ligatures w14:val="none"/>
        </w:rPr>
        <w:lastRenderedPageBreak/>
        <w:t>Table 1</w:t>
      </w:r>
      <w:r w:rsidR="00B2417F" w:rsidRPr="00EC5044">
        <w:rPr>
          <w:rFonts w:ascii="Arial" w:eastAsia="Times New Roman" w:hAnsi="Arial" w:cs="Arial"/>
          <w:b/>
          <w:bCs/>
          <w:color w:val="0F1115"/>
          <w:kern w:val="0"/>
          <w:sz w:val="20"/>
          <w:szCs w:val="20"/>
          <w:lang w:eastAsia="en-GB"/>
          <w14:ligatures w14:val="none"/>
        </w:rPr>
        <w:t>:</w:t>
      </w:r>
      <w:r w:rsidRPr="00EC5044">
        <w:rPr>
          <w:rFonts w:ascii="Arial" w:eastAsia="Times New Roman" w:hAnsi="Arial" w:cs="Arial"/>
          <w:b/>
          <w:bCs/>
          <w:color w:val="0F1115"/>
          <w:kern w:val="0"/>
          <w:sz w:val="20"/>
          <w:szCs w:val="20"/>
          <w:lang w:eastAsia="en-GB"/>
          <w14:ligatures w14:val="none"/>
        </w:rPr>
        <w:t> </w:t>
      </w:r>
      <w:r w:rsidR="00EC5044" w:rsidRPr="00EC5044">
        <w:rPr>
          <w:rFonts w:ascii="Arial" w:eastAsia="Times New Roman" w:hAnsi="Arial" w:cs="Arial"/>
          <w:b/>
          <w:bCs/>
          <w:color w:val="0F1115"/>
          <w:kern w:val="0"/>
          <w:sz w:val="20"/>
          <w:szCs w:val="20"/>
          <w:lang w:eastAsia="en-GB"/>
          <w14:ligatures w14:val="none"/>
        </w:rPr>
        <w:t>Combined Demographic, Clinical, and Biomarker Characteristics of HF Patients and Control Subjects</w:t>
      </w:r>
    </w:p>
    <w:tbl>
      <w:tblPr>
        <w:tblW w:w="8995" w:type="dxa"/>
        <w:jc w:val="center"/>
        <w:tblLook w:val="04A0" w:firstRow="1" w:lastRow="0" w:firstColumn="1" w:lastColumn="0" w:noHBand="0" w:noVBand="1"/>
      </w:tblPr>
      <w:tblGrid>
        <w:gridCol w:w="4061"/>
        <w:gridCol w:w="2078"/>
        <w:gridCol w:w="1800"/>
        <w:gridCol w:w="1056"/>
      </w:tblGrid>
      <w:tr w:rsidR="00462CB1" w:rsidRPr="00462CB1" w14:paraId="09CA7390" w14:textId="77777777" w:rsidTr="00A01A22">
        <w:trPr>
          <w:trHeight w:val="53"/>
          <w:jc w:val="center"/>
        </w:trPr>
        <w:tc>
          <w:tcPr>
            <w:tcW w:w="4061" w:type="dxa"/>
            <w:tcBorders>
              <w:top w:val="single" w:sz="4" w:space="0" w:color="auto"/>
              <w:left w:val="nil"/>
              <w:bottom w:val="single" w:sz="4" w:space="0" w:color="auto"/>
              <w:right w:val="nil"/>
            </w:tcBorders>
            <w:noWrap/>
            <w:vAlign w:val="center"/>
            <w:hideMark/>
          </w:tcPr>
          <w:p w14:paraId="3981CD71" w14:textId="77777777" w:rsidR="00462CB1" w:rsidRPr="00462CB1" w:rsidRDefault="00462CB1" w:rsidP="00462CB1">
            <w:pPr>
              <w:spacing w:after="0" w:line="240" w:lineRule="auto"/>
              <w:jc w:val="center"/>
              <w:rPr>
                <w:rFonts w:ascii="Arial" w:eastAsia="Times New Roman" w:hAnsi="Arial" w:cs="Arial"/>
                <w:b/>
                <w:bCs/>
                <w:color w:val="000000"/>
                <w:kern w:val="0"/>
                <w:sz w:val="20"/>
                <w:szCs w:val="20"/>
                <w:lang w:eastAsia="en-GB"/>
                <w14:ligatures w14:val="none"/>
              </w:rPr>
            </w:pPr>
            <w:r w:rsidRPr="00462CB1">
              <w:rPr>
                <w:rFonts w:ascii="Arial" w:eastAsia="Times New Roman" w:hAnsi="Arial" w:cs="Arial"/>
                <w:b/>
                <w:bCs/>
                <w:color w:val="000000"/>
                <w:kern w:val="0"/>
                <w:sz w:val="20"/>
                <w:szCs w:val="20"/>
                <w:lang w:eastAsia="en-GB"/>
                <w14:ligatures w14:val="none"/>
              </w:rPr>
              <w:t>Variable</w:t>
            </w:r>
          </w:p>
        </w:tc>
        <w:tc>
          <w:tcPr>
            <w:tcW w:w="2078" w:type="dxa"/>
            <w:tcBorders>
              <w:top w:val="single" w:sz="4" w:space="0" w:color="auto"/>
              <w:left w:val="nil"/>
              <w:bottom w:val="single" w:sz="4" w:space="0" w:color="auto"/>
              <w:right w:val="nil"/>
            </w:tcBorders>
            <w:noWrap/>
            <w:vAlign w:val="center"/>
            <w:hideMark/>
          </w:tcPr>
          <w:p w14:paraId="43B329B0" w14:textId="77777777" w:rsidR="00462CB1" w:rsidRPr="00462CB1" w:rsidRDefault="00462CB1" w:rsidP="00462CB1">
            <w:pPr>
              <w:spacing w:after="0" w:line="240" w:lineRule="auto"/>
              <w:jc w:val="center"/>
              <w:rPr>
                <w:rFonts w:ascii="Arial" w:eastAsia="Times New Roman" w:hAnsi="Arial" w:cs="Arial"/>
                <w:b/>
                <w:bCs/>
                <w:color w:val="000000"/>
                <w:kern w:val="0"/>
                <w:sz w:val="20"/>
                <w:szCs w:val="20"/>
                <w:lang w:eastAsia="en-GB"/>
                <w14:ligatures w14:val="none"/>
              </w:rPr>
            </w:pPr>
            <w:r w:rsidRPr="00462CB1">
              <w:rPr>
                <w:rFonts w:ascii="Arial" w:eastAsia="Times New Roman" w:hAnsi="Arial" w:cs="Arial"/>
                <w:b/>
                <w:bCs/>
                <w:color w:val="000000"/>
                <w:kern w:val="0"/>
                <w:sz w:val="20"/>
                <w:szCs w:val="20"/>
                <w:lang w:eastAsia="en-GB"/>
                <w14:ligatures w14:val="none"/>
              </w:rPr>
              <w:t>HF Patients (n=60)</w:t>
            </w:r>
          </w:p>
        </w:tc>
        <w:tc>
          <w:tcPr>
            <w:tcW w:w="1800" w:type="dxa"/>
            <w:tcBorders>
              <w:top w:val="single" w:sz="4" w:space="0" w:color="auto"/>
              <w:left w:val="nil"/>
              <w:bottom w:val="single" w:sz="4" w:space="0" w:color="auto"/>
              <w:right w:val="nil"/>
            </w:tcBorders>
            <w:noWrap/>
            <w:vAlign w:val="center"/>
            <w:hideMark/>
          </w:tcPr>
          <w:p w14:paraId="4B532346" w14:textId="77777777" w:rsidR="00462CB1" w:rsidRPr="00462CB1" w:rsidRDefault="00462CB1" w:rsidP="00462CB1">
            <w:pPr>
              <w:spacing w:after="0" w:line="240" w:lineRule="auto"/>
              <w:jc w:val="center"/>
              <w:rPr>
                <w:rFonts w:ascii="Arial" w:eastAsia="Times New Roman" w:hAnsi="Arial" w:cs="Arial"/>
                <w:b/>
                <w:bCs/>
                <w:color w:val="000000"/>
                <w:kern w:val="0"/>
                <w:sz w:val="20"/>
                <w:szCs w:val="20"/>
                <w:lang w:eastAsia="en-GB"/>
                <w14:ligatures w14:val="none"/>
              </w:rPr>
            </w:pPr>
            <w:r w:rsidRPr="00462CB1">
              <w:rPr>
                <w:rFonts w:ascii="Arial" w:eastAsia="Times New Roman" w:hAnsi="Arial" w:cs="Arial"/>
                <w:b/>
                <w:bCs/>
                <w:color w:val="000000"/>
                <w:kern w:val="0"/>
                <w:sz w:val="20"/>
                <w:szCs w:val="20"/>
                <w:lang w:eastAsia="en-GB"/>
                <w14:ligatures w14:val="none"/>
              </w:rPr>
              <w:t>Controls (n=60)</w:t>
            </w:r>
          </w:p>
        </w:tc>
        <w:tc>
          <w:tcPr>
            <w:tcW w:w="1056" w:type="dxa"/>
            <w:tcBorders>
              <w:top w:val="single" w:sz="4" w:space="0" w:color="auto"/>
              <w:left w:val="nil"/>
              <w:bottom w:val="single" w:sz="4" w:space="0" w:color="auto"/>
              <w:right w:val="nil"/>
            </w:tcBorders>
            <w:noWrap/>
            <w:vAlign w:val="center"/>
            <w:hideMark/>
          </w:tcPr>
          <w:p w14:paraId="4F7D0234" w14:textId="77777777" w:rsidR="00462CB1" w:rsidRPr="00462CB1" w:rsidRDefault="00462CB1" w:rsidP="00462CB1">
            <w:pPr>
              <w:spacing w:after="0" w:line="240" w:lineRule="auto"/>
              <w:jc w:val="center"/>
              <w:rPr>
                <w:rFonts w:ascii="Arial" w:eastAsia="Times New Roman" w:hAnsi="Arial" w:cs="Arial"/>
                <w:b/>
                <w:bCs/>
                <w:color w:val="000000"/>
                <w:kern w:val="0"/>
                <w:sz w:val="20"/>
                <w:szCs w:val="20"/>
                <w:lang w:eastAsia="en-GB"/>
                <w14:ligatures w14:val="none"/>
              </w:rPr>
            </w:pPr>
            <w:r w:rsidRPr="00462CB1">
              <w:rPr>
                <w:rFonts w:ascii="Arial" w:eastAsia="Times New Roman" w:hAnsi="Arial" w:cs="Arial"/>
                <w:b/>
                <w:bCs/>
                <w:color w:val="000000"/>
                <w:kern w:val="0"/>
                <w:sz w:val="20"/>
                <w:szCs w:val="20"/>
                <w:lang w:eastAsia="en-GB"/>
                <w14:ligatures w14:val="none"/>
              </w:rPr>
              <w:t>P-value</w:t>
            </w:r>
          </w:p>
        </w:tc>
      </w:tr>
      <w:tr w:rsidR="00462CB1" w:rsidRPr="00462CB1" w14:paraId="086DBB1F" w14:textId="77777777" w:rsidTr="00A01A22">
        <w:trPr>
          <w:trHeight w:val="53"/>
          <w:jc w:val="center"/>
        </w:trPr>
        <w:tc>
          <w:tcPr>
            <w:tcW w:w="4061" w:type="dxa"/>
            <w:tcBorders>
              <w:top w:val="nil"/>
              <w:left w:val="nil"/>
              <w:bottom w:val="nil"/>
              <w:right w:val="nil"/>
            </w:tcBorders>
            <w:noWrap/>
            <w:vAlign w:val="center"/>
            <w:hideMark/>
          </w:tcPr>
          <w:p w14:paraId="36C019A7" w14:textId="77777777" w:rsidR="00462CB1" w:rsidRPr="00462CB1" w:rsidRDefault="00462CB1" w:rsidP="00462CB1">
            <w:pPr>
              <w:spacing w:after="0" w:line="240" w:lineRule="auto"/>
              <w:rPr>
                <w:rFonts w:ascii="Arial" w:eastAsia="Times New Roman" w:hAnsi="Arial" w:cs="Arial"/>
                <w:b/>
                <w:bCs/>
                <w:color w:val="000000"/>
                <w:kern w:val="0"/>
                <w:sz w:val="20"/>
                <w:szCs w:val="20"/>
                <w:lang w:eastAsia="en-GB"/>
                <w14:ligatures w14:val="none"/>
              </w:rPr>
            </w:pPr>
            <w:r w:rsidRPr="00462CB1">
              <w:rPr>
                <w:rFonts w:ascii="Arial" w:eastAsia="Times New Roman" w:hAnsi="Arial" w:cs="Arial"/>
                <w:b/>
                <w:bCs/>
                <w:color w:val="000000"/>
                <w:kern w:val="0"/>
                <w:sz w:val="20"/>
                <w:szCs w:val="20"/>
                <w:lang w:eastAsia="en-GB"/>
                <w14:ligatures w14:val="none"/>
              </w:rPr>
              <w:t>Demographic Characteristics</w:t>
            </w:r>
          </w:p>
        </w:tc>
        <w:tc>
          <w:tcPr>
            <w:tcW w:w="2078" w:type="dxa"/>
            <w:tcBorders>
              <w:top w:val="nil"/>
              <w:left w:val="nil"/>
              <w:bottom w:val="nil"/>
              <w:right w:val="nil"/>
            </w:tcBorders>
            <w:noWrap/>
            <w:vAlign w:val="center"/>
            <w:hideMark/>
          </w:tcPr>
          <w:p w14:paraId="02A4FA4E"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p>
        </w:tc>
        <w:tc>
          <w:tcPr>
            <w:tcW w:w="1800" w:type="dxa"/>
            <w:tcBorders>
              <w:top w:val="nil"/>
              <w:left w:val="nil"/>
              <w:bottom w:val="nil"/>
              <w:right w:val="nil"/>
            </w:tcBorders>
            <w:noWrap/>
            <w:vAlign w:val="center"/>
            <w:hideMark/>
          </w:tcPr>
          <w:p w14:paraId="0E2345A0" w14:textId="77777777" w:rsidR="00462CB1" w:rsidRPr="00462CB1" w:rsidRDefault="00462CB1" w:rsidP="00462CB1">
            <w:pPr>
              <w:spacing w:after="0" w:line="240" w:lineRule="auto"/>
              <w:jc w:val="center"/>
              <w:rPr>
                <w:rFonts w:ascii="Times New Roman" w:eastAsia="Times New Roman" w:hAnsi="Times New Roman" w:cs="Times New Roman"/>
                <w:kern w:val="0"/>
                <w:sz w:val="20"/>
                <w:szCs w:val="20"/>
                <w:lang w:eastAsia="en-GB"/>
                <w14:ligatures w14:val="none"/>
              </w:rPr>
            </w:pPr>
          </w:p>
        </w:tc>
        <w:tc>
          <w:tcPr>
            <w:tcW w:w="1056" w:type="dxa"/>
            <w:tcBorders>
              <w:top w:val="nil"/>
              <w:left w:val="nil"/>
              <w:bottom w:val="nil"/>
              <w:right w:val="nil"/>
            </w:tcBorders>
            <w:noWrap/>
            <w:vAlign w:val="center"/>
            <w:hideMark/>
          </w:tcPr>
          <w:p w14:paraId="7A32C2F2" w14:textId="77777777" w:rsidR="00462CB1" w:rsidRPr="00462CB1" w:rsidRDefault="00462CB1" w:rsidP="00462CB1">
            <w:pPr>
              <w:spacing w:after="0" w:line="240" w:lineRule="auto"/>
              <w:jc w:val="center"/>
              <w:rPr>
                <w:rFonts w:ascii="Times New Roman" w:eastAsia="Times New Roman" w:hAnsi="Times New Roman" w:cs="Times New Roman"/>
                <w:kern w:val="0"/>
                <w:sz w:val="20"/>
                <w:szCs w:val="20"/>
                <w:lang w:eastAsia="en-GB"/>
                <w14:ligatures w14:val="none"/>
              </w:rPr>
            </w:pPr>
          </w:p>
        </w:tc>
      </w:tr>
      <w:tr w:rsidR="00462CB1" w:rsidRPr="00462CB1" w14:paraId="2C2A35AC" w14:textId="77777777" w:rsidTr="00A01A22">
        <w:trPr>
          <w:trHeight w:val="63"/>
          <w:jc w:val="center"/>
        </w:trPr>
        <w:tc>
          <w:tcPr>
            <w:tcW w:w="4061" w:type="dxa"/>
            <w:tcBorders>
              <w:top w:val="nil"/>
              <w:left w:val="nil"/>
              <w:bottom w:val="nil"/>
              <w:right w:val="nil"/>
            </w:tcBorders>
            <w:noWrap/>
            <w:vAlign w:val="center"/>
            <w:hideMark/>
          </w:tcPr>
          <w:p w14:paraId="74B05BD1"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Age (years), Mean ± SD</w:t>
            </w:r>
          </w:p>
        </w:tc>
        <w:tc>
          <w:tcPr>
            <w:tcW w:w="2078" w:type="dxa"/>
            <w:tcBorders>
              <w:top w:val="nil"/>
              <w:left w:val="nil"/>
              <w:bottom w:val="nil"/>
              <w:right w:val="nil"/>
            </w:tcBorders>
            <w:noWrap/>
            <w:vAlign w:val="center"/>
            <w:hideMark/>
          </w:tcPr>
          <w:p w14:paraId="2CBF4CAD"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66.9 ± 10.3</w:t>
            </w:r>
          </w:p>
        </w:tc>
        <w:tc>
          <w:tcPr>
            <w:tcW w:w="1800" w:type="dxa"/>
            <w:tcBorders>
              <w:top w:val="nil"/>
              <w:left w:val="nil"/>
              <w:bottom w:val="nil"/>
              <w:right w:val="nil"/>
            </w:tcBorders>
            <w:noWrap/>
            <w:vAlign w:val="center"/>
            <w:hideMark/>
          </w:tcPr>
          <w:p w14:paraId="41ED441E"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61.1 ± 9.00</w:t>
            </w:r>
          </w:p>
        </w:tc>
        <w:tc>
          <w:tcPr>
            <w:tcW w:w="1056" w:type="dxa"/>
            <w:tcBorders>
              <w:top w:val="nil"/>
              <w:left w:val="nil"/>
              <w:bottom w:val="nil"/>
              <w:right w:val="nil"/>
            </w:tcBorders>
            <w:noWrap/>
            <w:vAlign w:val="center"/>
            <w:hideMark/>
          </w:tcPr>
          <w:p w14:paraId="465B0060"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0.112</w:t>
            </w:r>
          </w:p>
        </w:tc>
      </w:tr>
      <w:tr w:rsidR="00462CB1" w:rsidRPr="00462CB1" w14:paraId="6AE1FD37" w14:textId="77777777" w:rsidTr="00A01A22">
        <w:trPr>
          <w:trHeight w:val="63"/>
          <w:jc w:val="center"/>
        </w:trPr>
        <w:tc>
          <w:tcPr>
            <w:tcW w:w="4061" w:type="dxa"/>
            <w:tcBorders>
              <w:top w:val="nil"/>
              <w:left w:val="nil"/>
              <w:bottom w:val="nil"/>
              <w:right w:val="nil"/>
            </w:tcBorders>
            <w:noWrap/>
            <w:vAlign w:val="center"/>
            <w:hideMark/>
          </w:tcPr>
          <w:p w14:paraId="6A59D64F"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Gender, n (%)</w:t>
            </w:r>
          </w:p>
        </w:tc>
        <w:tc>
          <w:tcPr>
            <w:tcW w:w="2078" w:type="dxa"/>
            <w:tcBorders>
              <w:top w:val="nil"/>
              <w:left w:val="nil"/>
              <w:bottom w:val="nil"/>
              <w:right w:val="nil"/>
            </w:tcBorders>
            <w:noWrap/>
            <w:vAlign w:val="center"/>
            <w:hideMark/>
          </w:tcPr>
          <w:p w14:paraId="137F71D7"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p>
        </w:tc>
        <w:tc>
          <w:tcPr>
            <w:tcW w:w="1800" w:type="dxa"/>
            <w:tcBorders>
              <w:top w:val="nil"/>
              <w:left w:val="nil"/>
              <w:bottom w:val="nil"/>
              <w:right w:val="nil"/>
            </w:tcBorders>
            <w:noWrap/>
            <w:vAlign w:val="center"/>
            <w:hideMark/>
          </w:tcPr>
          <w:p w14:paraId="1B3EF01E" w14:textId="77777777" w:rsidR="00462CB1" w:rsidRPr="00462CB1" w:rsidRDefault="00462CB1" w:rsidP="00462CB1">
            <w:pPr>
              <w:spacing w:after="0" w:line="240" w:lineRule="auto"/>
              <w:jc w:val="center"/>
              <w:rPr>
                <w:rFonts w:ascii="Times New Roman" w:eastAsia="Times New Roman" w:hAnsi="Times New Roman" w:cs="Times New Roman"/>
                <w:kern w:val="0"/>
                <w:sz w:val="20"/>
                <w:szCs w:val="20"/>
                <w:lang w:eastAsia="en-GB"/>
                <w14:ligatures w14:val="none"/>
              </w:rPr>
            </w:pPr>
          </w:p>
        </w:tc>
        <w:tc>
          <w:tcPr>
            <w:tcW w:w="1056" w:type="dxa"/>
            <w:tcBorders>
              <w:top w:val="nil"/>
              <w:left w:val="nil"/>
              <w:bottom w:val="nil"/>
              <w:right w:val="nil"/>
            </w:tcBorders>
            <w:noWrap/>
            <w:vAlign w:val="center"/>
            <w:hideMark/>
          </w:tcPr>
          <w:p w14:paraId="588E6C6A"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0.221</w:t>
            </w:r>
          </w:p>
        </w:tc>
      </w:tr>
      <w:tr w:rsidR="00462CB1" w:rsidRPr="00462CB1" w14:paraId="7BF7F268" w14:textId="77777777" w:rsidTr="00A01A22">
        <w:trPr>
          <w:trHeight w:val="63"/>
          <w:jc w:val="center"/>
        </w:trPr>
        <w:tc>
          <w:tcPr>
            <w:tcW w:w="4061" w:type="dxa"/>
            <w:tcBorders>
              <w:top w:val="nil"/>
              <w:left w:val="nil"/>
              <w:bottom w:val="nil"/>
              <w:right w:val="nil"/>
            </w:tcBorders>
            <w:noWrap/>
            <w:vAlign w:val="center"/>
            <w:hideMark/>
          </w:tcPr>
          <w:p w14:paraId="7ABC1798"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Male</w:t>
            </w:r>
          </w:p>
        </w:tc>
        <w:tc>
          <w:tcPr>
            <w:tcW w:w="2078" w:type="dxa"/>
            <w:tcBorders>
              <w:top w:val="nil"/>
              <w:left w:val="nil"/>
              <w:bottom w:val="nil"/>
              <w:right w:val="nil"/>
            </w:tcBorders>
            <w:noWrap/>
            <w:vAlign w:val="center"/>
            <w:hideMark/>
          </w:tcPr>
          <w:p w14:paraId="1CE222B9"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38 (61.3%)</w:t>
            </w:r>
          </w:p>
        </w:tc>
        <w:tc>
          <w:tcPr>
            <w:tcW w:w="1800" w:type="dxa"/>
            <w:tcBorders>
              <w:top w:val="nil"/>
              <w:left w:val="nil"/>
              <w:bottom w:val="nil"/>
              <w:right w:val="nil"/>
            </w:tcBorders>
            <w:noWrap/>
            <w:vAlign w:val="center"/>
            <w:hideMark/>
          </w:tcPr>
          <w:p w14:paraId="2A5ADA77"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23 (38.3%)</w:t>
            </w:r>
          </w:p>
        </w:tc>
        <w:tc>
          <w:tcPr>
            <w:tcW w:w="1056" w:type="dxa"/>
            <w:tcBorders>
              <w:top w:val="nil"/>
              <w:left w:val="nil"/>
              <w:bottom w:val="nil"/>
              <w:right w:val="nil"/>
            </w:tcBorders>
            <w:noWrap/>
            <w:vAlign w:val="center"/>
            <w:hideMark/>
          </w:tcPr>
          <w:p w14:paraId="7A7BD71A"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p>
        </w:tc>
      </w:tr>
      <w:tr w:rsidR="00462CB1" w:rsidRPr="00462CB1" w14:paraId="15905FED" w14:textId="77777777" w:rsidTr="00A01A22">
        <w:trPr>
          <w:trHeight w:val="63"/>
          <w:jc w:val="center"/>
        </w:trPr>
        <w:tc>
          <w:tcPr>
            <w:tcW w:w="4061" w:type="dxa"/>
            <w:tcBorders>
              <w:top w:val="nil"/>
              <w:left w:val="nil"/>
              <w:bottom w:val="nil"/>
              <w:right w:val="nil"/>
            </w:tcBorders>
            <w:noWrap/>
            <w:vAlign w:val="center"/>
            <w:hideMark/>
          </w:tcPr>
          <w:p w14:paraId="721B8A9F"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Female</w:t>
            </w:r>
          </w:p>
        </w:tc>
        <w:tc>
          <w:tcPr>
            <w:tcW w:w="2078" w:type="dxa"/>
            <w:tcBorders>
              <w:top w:val="nil"/>
              <w:left w:val="nil"/>
              <w:bottom w:val="nil"/>
              <w:right w:val="nil"/>
            </w:tcBorders>
            <w:noWrap/>
            <w:vAlign w:val="center"/>
            <w:hideMark/>
          </w:tcPr>
          <w:p w14:paraId="25A1E5EE"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22 (36.7%)</w:t>
            </w:r>
          </w:p>
        </w:tc>
        <w:tc>
          <w:tcPr>
            <w:tcW w:w="1800" w:type="dxa"/>
            <w:tcBorders>
              <w:top w:val="nil"/>
              <w:left w:val="nil"/>
              <w:bottom w:val="nil"/>
              <w:right w:val="nil"/>
            </w:tcBorders>
            <w:noWrap/>
            <w:vAlign w:val="center"/>
            <w:hideMark/>
          </w:tcPr>
          <w:p w14:paraId="4EFEB227"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37 (61.7%)</w:t>
            </w:r>
          </w:p>
        </w:tc>
        <w:tc>
          <w:tcPr>
            <w:tcW w:w="1056" w:type="dxa"/>
            <w:tcBorders>
              <w:top w:val="nil"/>
              <w:left w:val="nil"/>
              <w:bottom w:val="nil"/>
              <w:right w:val="nil"/>
            </w:tcBorders>
            <w:noWrap/>
            <w:vAlign w:val="center"/>
            <w:hideMark/>
          </w:tcPr>
          <w:p w14:paraId="1C056214"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p>
        </w:tc>
      </w:tr>
      <w:tr w:rsidR="00462CB1" w:rsidRPr="00462CB1" w14:paraId="19B57108" w14:textId="77777777" w:rsidTr="00A01A22">
        <w:trPr>
          <w:trHeight w:val="63"/>
          <w:jc w:val="center"/>
        </w:trPr>
        <w:tc>
          <w:tcPr>
            <w:tcW w:w="4061" w:type="dxa"/>
            <w:tcBorders>
              <w:top w:val="nil"/>
              <w:left w:val="nil"/>
              <w:bottom w:val="nil"/>
              <w:right w:val="nil"/>
            </w:tcBorders>
            <w:noWrap/>
            <w:vAlign w:val="center"/>
            <w:hideMark/>
          </w:tcPr>
          <w:p w14:paraId="5EBCC596"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BMI (kg/m²), Mean ± SD</w:t>
            </w:r>
          </w:p>
        </w:tc>
        <w:tc>
          <w:tcPr>
            <w:tcW w:w="2078" w:type="dxa"/>
            <w:tcBorders>
              <w:top w:val="nil"/>
              <w:left w:val="nil"/>
              <w:bottom w:val="nil"/>
              <w:right w:val="nil"/>
            </w:tcBorders>
            <w:noWrap/>
            <w:vAlign w:val="center"/>
            <w:hideMark/>
          </w:tcPr>
          <w:p w14:paraId="0AF4F811"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29.7 ± 4.53</w:t>
            </w:r>
          </w:p>
        </w:tc>
        <w:tc>
          <w:tcPr>
            <w:tcW w:w="1800" w:type="dxa"/>
            <w:tcBorders>
              <w:top w:val="nil"/>
              <w:left w:val="nil"/>
              <w:bottom w:val="nil"/>
              <w:right w:val="nil"/>
            </w:tcBorders>
            <w:noWrap/>
            <w:vAlign w:val="center"/>
            <w:hideMark/>
          </w:tcPr>
          <w:p w14:paraId="72DD5F37"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27.8 ± 6.8</w:t>
            </w:r>
          </w:p>
        </w:tc>
        <w:tc>
          <w:tcPr>
            <w:tcW w:w="1056" w:type="dxa"/>
            <w:tcBorders>
              <w:top w:val="nil"/>
              <w:left w:val="nil"/>
              <w:bottom w:val="nil"/>
              <w:right w:val="nil"/>
            </w:tcBorders>
            <w:noWrap/>
            <w:vAlign w:val="center"/>
            <w:hideMark/>
          </w:tcPr>
          <w:p w14:paraId="319AC647"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0.09</w:t>
            </w:r>
          </w:p>
        </w:tc>
      </w:tr>
      <w:tr w:rsidR="00462CB1" w:rsidRPr="00462CB1" w14:paraId="0C3A6340" w14:textId="77777777" w:rsidTr="00A01A22">
        <w:trPr>
          <w:trHeight w:val="63"/>
          <w:jc w:val="center"/>
        </w:trPr>
        <w:tc>
          <w:tcPr>
            <w:tcW w:w="4061" w:type="dxa"/>
            <w:tcBorders>
              <w:top w:val="nil"/>
              <w:left w:val="nil"/>
              <w:bottom w:val="nil"/>
              <w:right w:val="nil"/>
            </w:tcBorders>
            <w:noWrap/>
            <w:vAlign w:val="center"/>
            <w:hideMark/>
          </w:tcPr>
          <w:p w14:paraId="60BDEE36" w14:textId="77777777" w:rsidR="00462CB1" w:rsidRPr="00462CB1" w:rsidRDefault="00462CB1" w:rsidP="00462CB1">
            <w:pPr>
              <w:spacing w:after="0" w:line="240" w:lineRule="auto"/>
              <w:rPr>
                <w:rFonts w:ascii="Arial" w:eastAsia="Times New Roman" w:hAnsi="Arial" w:cs="Arial"/>
                <w:b/>
                <w:bCs/>
                <w:color w:val="000000"/>
                <w:kern w:val="0"/>
                <w:sz w:val="20"/>
                <w:szCs w:val="20"/>
                <w:lang w:eastAsia="en-GB"/>
                <w14:ligatures w14:val="none"/>
              </w:rPr>
            </w:pPr>
            <w:r w:rsidRPr="00462CB1">
              <w:rPr>
                <w:rFonts w:ascii="Arial" w:eastAsia="Times New Roman" w:hAnsi="Arial" w:cs="Arial"/>
                <w:b/>
                <w:bCs/>
                <w:color w:val="000000"/>
                <w:kern w:val="0"/>
                <w:sz w:val="20"/>
                <w:szCs w:val="20"/>
                <w:lang w:eastAsia="en-GB"/>
                <w14:ligatures w14:val="none"/>
              </w:rPr>
              <w:t>Ejection Fraction (%), Mean ± SD</w:t>
            </w:r>
          </w:p>
        </w:tc>
        <w:tc>
          <w:tcPr>
            <w:tcW w:w="2078" w:type="dxa"/>
            <w:tcBorders>
              <w:top w:val="nil"/>
              <w:left w:val="nil"/>
              <w:bottom w:val="nil"/>
              <w:right w:val="nil"/>
            </w:tcBorders>
            <w:noWrap/>
            <w:vAlign w:val="center"/>
            <w:hideMark/>
          </w:tcPr>
          <w:p w14:paraId="71687132"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36.7 ± 7.8</w:t>
            </w:r>
          </w:p>
        </w:tc>
        <w:tc>
          <w:tcPr>
            <w:tcW w:w="1800" w:type="dxa"/>
            <w:tcBorders>
              <w:top w:val="nil"/>
              <w:left w:val="nil"/>
              <w:bottom w:val="nil"/>
              <w:right w:val="nil"/>
            </w:tcBorders>
            <w:noWrap/>
            <w:vAlign w:val="center"/>
            <w:hideMark/>
          </w:tcPr>
          <w:p w14:paraId="4ECB745D"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79.1 ± 4.7</w:t>
            </w:r>
          </w:p>
        </w:tc>
        <w:tc>
          <w:tcPr>
            <w:tcW w:w="1056" w:type="dxa"/>
            <w:tcBorders>
              <w:top w:val="nil"/>
              <w:left w:val="nil"/>
              <w:bottom w:val="nil"/>
              <w:right w:val="nil"/>
            </w:tcBorders>
            <w:noWrap/>
            <w:vAlign w:val="center"/>
            <w:hideMark/>
          </w:tcPr>
          <w:p w14:paraId="6E3BEE85"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0.001</w:t>
            </w:r>
          </w:p>
        </w:tc>
      </w:tr>
      <w:tr w:rsidR="00462CB1" w:rsidRPr="00462CB1" w14:paraId="6719ED76" w14:textId="77777777" w:rsidTr="00A01A22">
        <w:trPr>
          <w:trHeight w:val="63"/>
          <w:jc w:val="center"/>
        </w:trPr>
        <w:tc>
          <w:tcPr>
            <w:tcW w:w="4061" w:type="dxa"/>
            <w:tcBorders>
              <w:top w:val="nil"/>
              <w:left w:val="nil"/>
              <w:bottom w:val="nil"/>
              <w:right w:val="nil"/>
            </w:tcBorders>
            <w:noWrap/>
            <w:vAlign w:val="center"/>
            <w:hideMark/>
          </w:tcPr>
          <w:p w14:paraId="36FE3656" w14:textId="77777777" w:rsidR="00462CB1" w:rsidRPr="00462CB1" w:rsidRDefault="00462CB1" w:rsidP="00462CB1">
            <w:pPr>
              <w:spacing w:after="0" w:line="240" w:lineRule="auto"/>
              <w:rPr>
                <w:rFonts w:ascii="Arial" w:eastAsia="Times New Roman" w:hAnsi="Arial" w:cs="Arial"/>
                <w:b/>
                <w:bCs/>
                <w:color w:val="000000"/>
                <w:kern w:val="0"/>
                <w:sz w:val="20"/>
                <w:szCs w:val="20"/>
                <w:lang w:eastAsia="en-GB"/>
                <w14:ligatures w14:val="none"/>
              </w:rPr>
            </w:pPr>
            <w:r w:rsidRPr="00462CB1">
              <w:rPr>
                <w:rFonts w:ascii="Arial" w:eastAsia="Times New Roman" w:hAnsi="Arial" w:cs="Arial"/>
                <w:b/>
                <w:bCs/>
                <w:color w:val="000000"/>
                <w:kern w:val="0"/>
                <w:sz w:val="20"/>
                <w:szCs w:val="20"/>
                <w:lang w:eastAsia="en-GB"/>
                <w14:ligatures w14:val="none"/>
              </w:rPr>
              <w:t>Systolic Dysfunction Severity</w:t>
            </w:r>
          </w:p>
        </w:tc>
        <w:tc>
          <w:tcPr>
            <w:tcW w:w="2078" w:type="dxa"/>
            <w:tcBorders>
              <w:top w:val="nil"/>
              <w:left w:val="nil"/>
              <w:bottom w:val="nil"/>
              <w:right w:val="nil"/>
            </w:tcBorders>
            <w:noWrap/>
            <w:vAlign w:val="center"/>
            <w:hideMark/>
          </w:tcPr>
          <w:p w14:paraId="517761E6"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p>
        </w:tc>
        <w:tc>
          <w:tcPr>
            <w:tcW w:w="1800" w:type="dxa"/>
            <w:tcBorders>
              <w:top w:val="nil"/>
              <w:left w:val="nil"/>
              <w:bottom w:val="nil"/>
              <w:right w:val="nil"/>
            </w:tcBorders>
            <w:noWrap/>
            <w:vAlign w:val="center"/>
            <w:hideMark/>
          </w:tcPr>
          <w:p w14:paraId="6BF39A88" w14:textId="77777777" w:rsidR="00462CB1" w:rsidRPr="00462CB1" w:rsidRDefault="00462CB1" w:rsidP="00462CB1">
            <w:pPr>
              <w:spacing w:after="0" w:line="240" w:lineRule="auto"/>
              <w:jc w:val="center"/>
              <w:rPr>
                <w:rFonts w:ascii="Times New Roman" w:eastAsia="Times New Roman" w:hAnsi="Times New Roman" w:cs="Times New Roman"/>
                <w:kern w:val="0"/>
                <w:sz w:val="20"/>
                <w:szCs w:val="20"/>
                <w:lang w:eastAsia="en-GB"/>
                <w14:ligatures w14:val="none"/>
              </w:rPr>
            </w:pPr>
          </w:p>
        </w:tc>
        <w:tc>
          <w:tcPr>
            <w:tcW w:w="1056" w:type="dxa"/>
            <w:tcBorders>
              <w:top w:val="nil"/>
              <w:left w:val="nil"/>
              <w:bottom w:val="nil"/>
              <w:right w:val="nil"/>
            </w:tcBorders>
            <w:noWrap/>
            <w:vAlign w:val="center"/>
            <w:hideMark/>
          </w:tcPr>
          <w:p w14:paraId="7B7C3569" w14:textId="77777777" w:rsidR="00462CB1" w:rsidRPr="00462CB1" w:rsidRDefault="00462CB1" w:rsidP="00462CB1">
            <w:pPr>
              <w:spacing w:after="0" w:line="240" w:lineRule="auto"/>
              <w:jc w:val="center"/>
              <w:rPr>
                <w:rFonts w:ascii="Times New Roman" w:eastAsia="Times New Roman" w:hAnsi="Times New Roman" w:cs="Times New Roman"/>
                <w:kern w:val="0"/>
                <w:sz w:val="20"/>
                <w:szCs w:val="20"/>
                <w:lang w:eastAsia="en-GB"/>
                <w14:ligatures w14:val="none"/>
              </w:rPr>
            </w:pPr>
          </w:p>
        </w:tc>
      </w:tr>
      <w:tr w:rsidR="00462CB1" w:rsidRPr="00462CB1" w14:paraId="43E84B9A" w14:textId="77777777" w:rsidTr="00A01A22">
        <w:trPr>
          <w:trHeight w:val="63"/>
          <w:jc w:val="center"/>
        </w:trPr>
        <w:tc>
          <w:tcPr>
            <w:tcW w:w="4061" w:type="dxa"/>
            <w:tcBorders>
              <w:top w:val="nil"/>
              <w:left w:val="nil"/>
              <w:bottom w:val="nil"/>
              <w:right w:val="nil"/>
            </w:tcBorders>
            <w:noWrap/>
            <w:vAlign w:val="center"/>
            <w:hideMark/>
          </w:tcPr>
          <w:p w14:paraId="68B7AC7E"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Mild (LVEF 45–54%)</w:t>
            </w:r>
          </w:p>
        </w:tc>
        <w:tc>
          <w:tcPr>
            <w:tcW w:w="2078" w:type="dxa"/>
            <w:tcBorders>
              <w:top w:val="nil"/>
              <w:left w:val="nil"/>
              <w:bottom w:val="nil"/>
              <w:right w:val="nil"/>
            </w:tcBorders>
            <w:noWrap/>
            <w:vAlign w:val="center"/>
            <w:hideMark/>
          </w:tcPr>
          <w:p w14:paraId="69615BCD"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19 (31.7%)</w:t>
            </w:r>
          </w:p>
        </w:tc>
        <w:tc>
          <w:tcPr>
            <w:tcW w:w="1800" w:type="dxa"/>
            <w:tcBorders>
              <w:top w:val="nil"/>
              <w:left w:val="nil"/>
              <w:bottom w:val="nil"/>
              <w:right w:val="nil"/>
            </w:tcBorders>
            <w:noWrap/>
            <w:vAlign w:val="center"/>
            <w:hideMark/>
          </w:tcPr>
          <w:p w14:paraId="570BB53E"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N/A</w:t>
            </w:r>
          </w:p>
        </w:tc>
        <w:tc>
          <w:tcPr>
            <w:tcW w:w="1056" w:type="dxa"/>
            <w:tcBorders>
              <w:top w:val="nil"/>
              <w:left w:val="nil"/>
              <w:bottom w:val="nil"/>
              <w:right w:val="nil"/>
            </w:tcBorders>
            <w:noWrap/>
            <w:vAlign w:val="center"/>
            <w:hideMark/>
          </w:tcPr>
          <w:p w14:paraId="7734E955"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p>
        </w:tc>
      </w:tr>
      <w:tr w:rsidR="00462CB1" w:rsidRPr="00462CB1" w14:paraId="11969DE3" w14:textId="77777777" w:rsidTr="00A01A22">
        <w:trPr>
          <w:trHeight w:val="63"/>
          <w:jc w:val="center"/>
        </w:trPr>
        <w:tc>
          <w:tcPr>
            <w:tcW w:w="4061" w:type="dxa"/>
            <w:tcBorders>
              <w:top w:val="nil"/>
              <w:left w:val="nil"/>
              <w:bottom w:val="nil"/>
              <w:right w:val="nil"/>
            </w:tcBorders>
            <w:noWrap/>
            <w:vAlign w:val="center"/>
            <w:hideMark/>
          </w:tcPr>
          <w:p w14:paraId="41A9382C"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Moderate (LVEF 30–44%)</w:t>
            </w:r>
          </w:p>
        </w:tc>
        <w:tc>
          <w:tcPr>
            <w:tcW w:w="2078" w:type="dxa"/>
            <w:tcBorders>
              <w:top w:val="nil"/>
              <w:left w:val="nil"/>
              <w:bottom w:val="nil"/>
              <w:right w:val="nil"/>
            </w:tcBorders>
            <w:noWrap/>
            <w:vAlign w:val="center"/>
            <w:hideMark/>
          </w:tcPr>
          <w:p w14:paraId="13DCD909"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21 (35.0%)</w:t>
            </w:r>
          </w:p>
        </w:tc>
        <w:tc>
          <w:tcPr>
            <w:tcW w:w="1800" w:type="dxa"/>
            <w:tcBorders>
              <w:top w:val="nil"/>
              <w:left w:val="nil"/>
              <w:bottom w:val="nil"/>
              <w:right w:val="nil"/>
            </w:tcBorders>
            <w:noWrap/>
            <w:vAlign w:val="center"/>
            <w:hideMark/>
          </w:tcPr>
          <w:p w14:paraId="1A7EFB13"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N/A</w:t>
            </w:r>
          </w:p>
        </w:tc>
        <w:tc>
          <w:tcPr>
            <w:tcW w:w="1056" w:type="dxa"/>
            <w:tcBorders>
              <w:top w:val="nil"/>
              <w:left w:val="nil"/>
              <w:bottom w:val="nil"/>
              <w:right w:val="nil"/>
            </w:tcBorders>
            <w:noWrap/>
            <w:vAlign w:val="center"/>
            <w:hideMark/>
          </w:tcPr>
          <w:p w14:paraId="1472C259"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p>
        </w:tc>
      </w:tr>
      <w:tr w:rsidR="00462CB1" w:rsidRPr="00462CB1" w14:paraId="3F34F315" w14:textId="77777777" w:rsidTr="00A01A22">
        <w:trPr>
          <w:trHeight w:val="63"/>
          <w:jc w:val="center"/>
        </w:trPr>
        <w:tc>
          <w:tcPr>
            <w:tcW w:w="4061" w:type="dxa"/>
            <w:tcBorders>
              <w:top w:val="nil"/>
              <w:left w:val="nil"/>
              <w:bottom w:val="nil"/>
              <w:right w:val="nil"/>
            </w:tcBorders>
            <w:noWrap/>
            <w:vAlign w:val="center"/>
            <w:hideMark/>
          </w:tcPr>
          <w:p w14:paraId="5A33C0DD"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Severe (LVEF &lt;30%)</w:t>
            </w:r>
          </w:p>
        </w:tc>
        <w:tc>
          <w:tcPr>
            <w:tcW w:w="2078" w:type="dxa"/>
            <w:tcBorders>
              <w:top w:val="nil"/>
              <w:left w:val="nil"/>
              <w:bottom w:val="nil"/>
              <w:right w:val="nil"/>
            </w:tcBorders>
            <w:noWrap/>
            <w:vAlign w:val="center"/>
            <w:hideMark/>
          </w:tcPr>
          <w:p w14:paraId="0E7ACF5B"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20 (33.3%)</w:t>
            </w:r>
          </w:p>
        </w:tc>
        <w:tc>
          <w:tcPr>
            <w:tcW w:w="1800" w:type="dxa"/>
            <w:tcBorders>
              <w:top w:val="nil"/>
              <w:left w:val="nil"/>
              <w:bottom w:val="nil"/>
              <w:right w:val="nil"/>
            </w:tcBorders>
            <w:noWrap/>
            <w:vAlign w:val="center"/>
            <w:hideMark/>
          </w:tcPr>
          <w:p w14:paraId="18718D35"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N/A</w:t>
            </w:r>
          </w:p>
        </w:tc>
        <w:tc>
          <w:tcPr>
            <w:tcW w:w="1056" w:type="dxa"/>
            <w:tcBorders>
              <w:top w:val="nil"/>
              <w:left w:val="nil"/>
              <w:bottom w:val="nil"/>
              <w:right w:val="nil"/>
            </w:tcBorders>
            <w:noWrap/>
            <w:vAlign w:val="center"/>
            <w:hideMark/>
          </w:tcPr>
          <w:p w14:paraId="5742F81A"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p>
        </w:tc>
      </w:tr>
      <w:tr w:rsidR="00462CB1" w:rsidRPr="00462CB1" w14:paraId="7831D606" w14:textId="77777777" w:rsidTr="00A01A22">
        <w:trPr>
          <w:trHeight w:val="63"/>
          <w:jc w:val="center"/>
        </w:trPr>
        <w:tc>
          <w:tcPr>
            <w:tcW w:w="4061" w:type="dxa"/>
            <w:tcBorders>
              <w:top w:val="nil"/>
              <w:left w:val="nil"/>
              <w:bottom w:val="nil"/>
              <w:right w:val="nil"/>
            </w:tcBorders>
            <w:noWrap/>
            <w:vAlign w:val="center"/>
            <w:hideMark/>
          </w:tcPr>
          <w:p w14:paraId="6D5E4D36" w14:textId="77777777" w:rsidR="00462CB1" w:rsidRPr="00462CB1" w:rsidRDefault="00462CB1" w:rsidP="00462CB1">
            <w:pPr>
              <w:spacing w:after="0" w:line="240" w:lineRule="auto"/>
              <w:rPr>
                <w:rFonts w:ascii="Arial" w:eastAsia="Times New Roman" w:hAnsi="Arial" w:cs="Arial"/>
                <w:b/>
                <w:bCs/>
                <w:color w:val="000000"/>
                <w:kern w:val="0"/>
                <w:sz w:val="20"/>
                <w:szCs w:val="20"/>
                <w:lang w:eastAsia="en-GB"/>
                <w14:ligatures w14:val="none"/>
              </w:rPr>
            </w:pPr>
            <w:r w:rsidRPr="00462CB1">
              <w:rPr>
                <w:rFonts w:ascii="Arial" w:eastAsia="Times New Roman" w:hAnsi="Arial" w:cs="Arial"/>
                <w:b/>
                <w:bCs/>
                <w:color w:val="000000"/>
                <w:kern w:val="0"/>
                <w:sz w:val="20"/>
                <w:szCs w:val="20"/>
                <w:lang w:eastAsia="en-GB"/>
                <w14:ligatures w14:val="none"/>
              </w:rPr>
              <w:t>Lipid Profile (mg/dl)</w:t>
            </w:r>
          </w:p>
        </w:tc>
        <w:tc>
          <w:tcPr>
            <w:tcW w:w="2078" w:type="dxa"/>
            <w:tcBorders>
              <w:top w:val="nil"/>
              <w:left w:val="nil"/>
              <w:bottom w:val="nil"/>
              <w:right w:val="nil"/>
            </w:tcBorders>
            <w:noWrap/>
            <w:vAlign w:val="center"/>
            <w:hideMark/>
          </w:tcPr>
          <w:p w14:paraId="55C4EFA0"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p>
        </w:tc>
        <w:tc>
          <w:tcPr>
            <w:tcW w:w="1800" w:type="dxa"/>
            <w:tcBorders>
              <w:top w:val="nil"/>
              <w:left w:val="nil"/>
              <w:bottom w:val="nil"/>
              <w:right w:val="nil"/>
            </w:tcBorders>
            <w:noWrap/>
            <w:vAlign w:val="center"/>
            <w:hideMark/>
          </w:tcPr>
          <w:p w14:paraId="7F29B340" w14:textId="77777777" w:rsidR="00462CB1" w:rsidRPr="00462CB1" w:rsidRDefault="00462CB1" w:rsidP="00462CB1">
            <w:pPr>
              <w:spacing w:after="0" w:line="240" w:lineRule="auto"/>
              <w:jc w:val="center"/>
              <w:rPr>
                <w:rFonts w:ascii="Times New Roman" w:eastAsia="Times New Roman" w:hAnsi="Times New Roman" w:cs="Times New Roman"/>
                <w:kern w:val="0"/>
                <w:sz w:val="20"/>
                <w:szCs w:val="20"/>
                <w:lang w:eastAsia="en-GB"/>
                <w14:ligatures w14:val="none"/>
              </w:rPr>
            </w:pPr>
          </w:p>
        </w:tc>
        <w:tc>
          <w:tcPr>
            <w:tcW w:w="1056" w:type="dxa"/>
            <w:tcBorders>
              <w:top w:val="nil"/>
              <w:left w:val="nil"/>
              <w:bottom w:val="nil"/>
              <w:right w:val="nil"/>
            </w:tcBorders>
            <w:noWrap/>
            <w:vAlign w:val="center"/>
            <w:hideMark/>
          </w:tcPr>
          <w:p w14:paraId="7DCE8E30" w14:textId="77777777" w:rsidR="00462CB1" w:rsidRPr="00462CB1" w:rsidRDefault="00462CB1" w:rsidP="00462CB1">
            <w:pPr>
              <w:spacing w:after="0" w:line="240" w:lineRule="auto"/>
              <w:jc w:val="center"/>
              <w:rPr>
                <w:rFonts w:ascii="Times New Roman" w:eastAsia="Times New Roman" w:hAnsi="Times New Roman" w:cs="Times New Roman"/>
                <w:kern w:val="0"/>
                <w:sz w:val="20"/>
                <w:szCs w:val="20"/>
                <w:lang w:eastAsia="en-GB"/>
                <w14:ligatures w14:val="none"/>
              </w:rPr>
            </w:pPr>
          </w:p>
        </w:tc>
      </w:tr>
      <w:tr w:rsidR="00462CB1" w:rsidRPr="00462CB1" w14:paraId="5E258D71" w14:textId="77777777" w:rsidTr="00A01A22">
        <w:trPr>
          <w:trHeight w:val="63"/>
          <w:jc w:val="center"/>
        </w:trPr>
        <w:tc>
          <w:tcPr>
            <w:tcW w:w="4061" w:type="dxa"/>
            <w:tcBorders>
              <w:top w:val="nil"/>
              <w:left w:val="nil"/>
              <w:bottom w:val="nil"/>
              <w:right w:val="nil"/>
            </w:tcBorders>
            <w:noWrap/>
            <w:vAlign w:val="center"/>
            <w:hideMark/>
          </w:tcPr>
          <w:p w14:paraId="2AEC977F"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Cholesterol, Mean ± SD</w:t>
            </w:r>
          </w:p>
        </w:tc>
        <w:tc>
          <w:tcPr>
            <w:tcW w:w="2078" w:type="dxa"/>
            <w:tcBorders>
              <w:top w:val="nil"/>
              <w:left w:val="nil"/>
              <w:bottom w:val="nil"/>
              <w:right w:val="nil"/>
            </w:tcBorders>
            <w:noWrap/>
            <w:vAlign w:val="center"/>
            <w:hideMark/>
          </w:tcPr>
          <w:p w14:paraId="517CAB97"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145.8 ± 41.6</w:t>
            </w:r>
          </w:p>
        </w:tc>
        <w:tc>
          <w:tcPr>
            <w:tcW w:w="1800" w:type="dxa"/>
            <w:tcBorders>
              <w:top w:val="nil"/>
              <w:left w:val="nil"/>
              <w:bottom w:val="nil"/>
              <w:right w:val="nil"/>
            </w:tcBorders>
            <w:noWrap/>
            <w:vAlign w:val="center"/>
            <w:hideMark/>
          </w:tcPr>
          <w:p w14:paraId="36CFB27F"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89.5 ± 3.9</w:t>
            </w:r>
          </w:p>
        </w:tc>
        <w:tc>
          <w:tcPr>
            <w:tcW w:w="1056" w:type="dxa"/>
            <w:tcBorders>
              <w:top w:val="nil"/>
              <w:left w:val="nil"/>
              <w:bottom w:val="nil"/>
              <w:right w:val="nil"/>
            </w:tcBorders>
            <w:noWrap/>
            <w:vAlign w:val="center"/>
            <w:hideMark/>
          </w:tcPr>
          <w:p w14:paraId="58FF8887"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&lt;0.0001</w:t>
            </w:r>
          </w:p>
        </w:tc>
      </w:tr>
      <w:tr w:rsidR="00462CB1" w:rsidRPr="00462CB1" w14:paraId="51AA4C8E" w14:textId="77777777" w:rsidTr="00A01A22">
        <w:trPr>
          <w:trHeight w:val="63"/>
          <w:jc w:val="center"/>
        </w:trPr>
        <w:tc>
          <w:tcPr>
            <w:tcW w:w="4061" w:type="dxa"/>
            <w:tcBorders>
              <w:top w:val="nil"/>
              <w:left w:val="nil"/>
              <w:bottom w:val="nil"/>
              <w:right w:val="nil"/>
            </w:tcBorders>
            <w:noWrap/>
            <w:vAlign w:val="center"/>
            <w:hideMark/>
          </w:tcPr>
          <w:p w14:paraId="61AFFF31"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Triglyceride, Mean ± SD</w:t>
            </w:r>
          </w:p>
        </w:tc>
        <w:tc>
          <w:tcPr>
            <w:tcW w:w="2078" w:type="dxa"/>
            <w:tcBorders>
              <w:top w:val="nil"/>
              <w:left w:val="nil"/>
              <w:bottom w:val="nil"/>
              <w:right w:val="nil"/>
            </w:tcBorders>
            <w:noWrap/>
            <w:vAlign w:val="center"/>
            <w:hideMark/>
          </w:tcPr>
          <w:p w14:paraId="37DDDE28"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51.1 ± 13.6</w:t>
            </w:r>
          </w:p>
        </w:tc>
        <w:tc>
          <w:tcPr>
            <w:tcW w:w="1800" w:type="dxa"/>
            <w:tcBorders>
              <w:top w:val="nil"/>
              <w:left w:val="nil"/>
              <w:bottom w:val="nil"/>
              <w:right w:val="nil"/>
            </w:tcBorders>
            <w:noWrap/>
            <w:vAlign w:val="center"/>
            <w:hideMark/>
          </w:tcPr>
          <w:p w14:paraId="55A078D3"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20.9 ± 3.9</w:t>
            </w:r>
          </w:p>
        </w:tc>
        <w:tc>
          <w:tcPr>
            <w:tcW w:w="1056" w:type="dxa"/>
            <w:tcBorders>
              <w:top w:val="nil"/>
              <w:left w:val="nil"/>
              <w:bottom w:val="nil"/>
              <w:right w:val="nil"/>
            </w:tcBorders>
            <w:noWrap/>
            <w:vAlign w:val="center"/>
            <w:hideMark/>
          </w:tcPr>
          <w:p w14:paraId="08481DC2"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&lt;0.0001</w:t>
            </w:r>
          </w:p>
        </w:tc>
      </w:tr>
      <w:tr w:rsidR="00462CB1" w:rsidRPr="00462CB1" w14:paraId="1B11DFE4" w14:textId="77777777" w:rsidTr="00A01A22">
        <w:trPr>
          <w:trHeight w:val="63"/>
          <w:jc w:val="center"/>
        </w:trPr>
        <w:tc>
          <w:tcPr>
            <w:tcW w:w="4061" w:type="dxa"/>
            <w:tcBorders>
              <w:top w:val="nil"/>
              <w:left w:val="nil"/>
              <w:bottom w:val="nil"/>
              <w:right w:val="nil"/>
            </w:tcBorders>
            <w:noWrap/>
            <w:vAlign w:val="center"/>
            <w:hideMark/>
          </w:tcPr>
          <w:p w14:paraId="0D47BC74"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High-Density Lipoprotein, Mean ± SD</w:t>
            </w:r>
          </w:p>
        </w:tc>
        <w:tc>
          <w:tcPr>
            <w:tcW w:w="2078" w:type="dxa"/>
            <w:tcBorders>
              <w:top w:val="nil"/>
              <w:left w:val="nil"/>
              <w:bottom w:val="nil"/>
              <w:right w:val="nil"/>
            </w:tcBorders>
            <w:noWrap/>
            <w:vAlign w:val="center"/>
            <w:hideMark/>
          </w:tcPr>
          <w:p w14:paraId="141571F4"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33.3 ± 9.12</w:t>
            </w:r>
          </w:p>
        </w:tc>
        <w:tc>
          <w:tcPr>
            <w:tcW w:w="1800" w:type="dxa"/>
            <w:tcBorders>
              <w:top w:val="nil"/>
              <w:left w:val="nil"/>
              <w:bottom w:val="nil"/>
              <w:right w:val="nil"/>
            </w:tcBorders>
            <w:noWrap/>
            <w:vAlign w:val="center"/>
            <w:hideMark/>
          </w:tcPr>
          <w:p w14:paraId="15C15FE1"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24.8 ± 3.3</w:t>
            </w:r>
          </w:p>
        </w:tc>
        <w:tc>
          <w:tcPr>
            <w:tcW w:w="1056" w:type="dxa"/>
            <w:tcBorders>
              <w:top w:val="nil"/>
              <w:left w:val="nil"/>
              <w:bottom w:val="nil"/>
              <w:right w:val="nil"/>
            </w:tcBorders>
            <w:noWrap/>
            <w:vAlign w:val="center"/>
            <w:hideMark/>
          </w:tcPr>
          <w:p w14:paraId="36880418"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&lt;0.001</w:t>
            </w:r>
          </w:p>
        </w:tc>
      </w:tr>
      <w:tr w:rsidR="00462CB1" w:rsidRPr="00462CB1" w14:paraId="6AE428DE" w14:textId="77777777" w:rsidTr="00A01A22">
        <w:trPr>
          <w:trHeight w:val="63"/>
          <w:jc w:val="center"/>
        </w:trPr>
        <w:tc>
          <w:tcPr>
            <w:tcW w:w="4061" w:type="dxa"/>
            <w:tcBorders>
              <w:top w:val="nil"/>
              <w:left w:val="nil"/>
              <w:bottom w:val="nil"/>
              <w:right w:val="nil"/>
            </w:tcBorders>
            <w:noWrap/>
            <w:vAlign w:val="center"/>
            <w:hideMark/>
          </w:tcPr>
          <w:p w14:paraId="17C6F922"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Very-Low-Density Lipoprotein, Mean ± SD</w:t>
            </w:r>
          </w:p>
        </w:tc>
        <w:tc>
          <w:tcPr>
            <w:tcW w:w="2078" w:type="dxa"/>
            <w:tcBorders>
              <w:top w:val="nil"/>
              <w:left w:val="nil"/>
              <w:bottom w:val="nil"/>
              <w:right w:val="nil"/>
            </w:tcBorders>
            <w:noWrap/>
            <w:vAlign w:val="center"/>
            <w:hideMark/>
          </w:tcPr>
          <w:p w14:paraId="475055E2"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10.2 ± 2.7</w:t>
            </w:r>
          </w:p>
        </w:tc>
        <w:tc>
          <w:tcPr>
            <w:tcW w:w="1800" w:type="dxa"/>
            <w:tcBorders>
              <w:top w:val="nil"/>
              <w:left w:val="nil"/>
              <w:bottom w:val="nil"/>
              <w:right w:val="nil"/>
            </w:tcBorders>
            <w:noWrap/>
            <w:vAlign w:val="center"/>
            <w:hideMark/>
          </w:tcPr>
          <w:p w14:paraId="6FFB9258"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4.2 ± 0.8</w:t>
            </w:r>
          </w:p>
        </w:tc>
        <w:tc>
          <w:tcPr>
            <w:tcW w:w="1056" w:type="dxa"/>
            <w:tcBorders>
              <w:top w:val="nil"/>
              <w:left w:val="nil"/>
              <w:bottom w:val="nil"/>
              <w:right w:val="nil"/>
            </w:tcBorders>
            <w:noWrap/>
            <w:vAlign w:val="center"/>
            <w:hideMark/>
          </w:tcPr>
          <w:p w14:paraId="212A329B"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&lt;0.0001</w:t>
            </w:r>
          </w:p>
        </w:tc>
      </w:tr>
      <w:tr w:rsidR="00462CB1" w:rsidRPr="00462CB1" w14:paraId="0947CD2A" w14:textId="77777777" w:rsidTr="00A01A22">
        <w:trPr>
          <w:trHeight w:val="63"/>
          <w:jc w:val="center"/>
        </w:trPr>
        <w:tc>
          <w:tcPr>
            <w:tcW w:w="4061" w:type="dxa"/>
            <w:tcBorders>
              <w:top w:val="nil"/>
              <w:left w:val="nil"/>
              <w:bottom w:val="nil"/>
              <w:right w:val="nil"/>
            </w:tcBorders>
            <w:noWrap/>
            <w:vAlign w:val="center"/>
            <w:hideMark/>
          </w:tcPr>
          <w:p w14:paraId="4E00AE34"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Low-Density Lipoprotein, Mean ± SD</w:t>
            </w:r>
          </w:p>
        </w:tc>
        <w:tc>
          <w:tcPr>
            <w:tcW w:w="2078" w:type="dxa"/>
            <w:tcBorders>
              <w:top w:val="nil"/>
              <w:left w:val="nil"/>
              <w:bottom w:val="nil"/>
              <w:right w:val="nil"/>
            </w:tcBorders>
            <w:noWrap/>
            <w:vAlign w:val="center"/>
            <w:hideMark/>
          </w:tcPr>
          <w:p w14:paraId="0B27EDEA"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102.3 ± 28.9</w:t>
            </w:r>
          </w:p>
        </w:tc>
        <w:tc>
          <w:tcPr>
            <w:tcW w:w="1800" w:type="dxa"/>
            <w:tcBorders>
              <w:top w:val="nil"/>
              <w:left w:val="nil"/>
              <w:bottom w:val="nil"/>
              <w:right w:val="nil"/>
            </w:tcBorders>
            <w:noWrap/>
            <w:vAlign w:val="center"/>
            <w:hideMark/>
          </w:tcPr>
          <w:p w14:paraId="15DEE880"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60.5 ± 7.6</w:t>
            </w:r>
          </w:p>
        </w:tc>
        <w:tc>
          <w:tcPr>
            <w:tcW w:w="1056" w:type="dxa"/>
            <w:tcBorders>
              <w:top w:val="nil"/>
              <w:left w:val="nil"/>
              <w:bottom w:val="nil"/>
              <w:right w:val="nil"/>
            </w:tcBorders>
            <w:noWrap/>
            <w:vAlign w:val="center"/>
            <w:hideMark/>
          </w:tcPr>
          <w:p w14:paraId="238A3CB6"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&lt;0.0001</w:t>
            </w:r>
          </w:p>
        </w:tc>
      </w:tr>
      <w:tr w:rsidR="00462CB1" w:rsidRPr="00462CB1" w14:paraId="1F91FF47" w14:textId="77777777" w:rsidTr="00A01A22">
        <w:trPr>
          <w:trHeight w:val="63"/>
          <w:jc w:val="center"/>
        </w:trPr>
        <w:tc>
          <w:tcPr>
            <w:tcW w:w="4061" w:type="dxa"/>
            <w:tcBorders>
              <w:top w:val="nil"/>
              <w:left w:val="nil"/>
              <w:bottom w:val="nil"/>
              <w:right w:val="nil"/>
            </w:tcBorders>
            <w:noWrap/>
            <w:vAlign w:val="center"/>
            <w:hideMark/>
          </w:tcPr>
          <w:p w14:paraId="22967CD5" w14:textId="77777777" w:rsidR="00462CB1" w:rsidRPr="00462CB1" w:rsidRDefault="00462CB1" w:rsidP="00462CB1">
            <w:pPr>
              <w:spacing w:after="0" w:line="240" w:lineRule="auto"/>
              <w:rPr>
                <w:rFonts w:ascii="Arial" w:eastAsia="Times New Roman" w:hAnsi="Arial" w:cs="Arial"/>
                <w:b/>
                <w:bCs/>
                <w:color w:val="000000"/>
                <w:kern w:val="0"/>
                <w:sz w:val="20"/>
                <w:szCs w:val="20"/>
                <w:lang w:eastAsia="en-GB"/>
                <w14:ligatures w14:val="none"/>
              </w:rPr>
            </w:pPr>
            <w:r w:rsidRPr="00462CB1">
              <w:rPr>
                <w:rFonts w:ascii="Arial" w:eastAsia="Times New Roman" w:hAnsi="Arial" w:cs="Arial"/>
                <w:b/>
                <w:bCs/>
                <w:color w:val="000000"/>
                <w:kern w:val="0"/>
                <w:sz w:val="20"/>
                <w:szCs w:val="20"/>
                <w:lang w:eastAsia="en-GB"/>
                <w14:ligatures w14:val="none"/>
              </w:rPr>
              <w:t>Biomarkers</w:t>
            </w:r>
          </w:p>
        </w:tc>
        <w:tc>
          <w:tcPr>
            <w:tcW w:w="2078" w:type="dxa"/>
            <w:tcBorders>
              <w:top w:val="nil"/>
              <w:left w:val="nil"/>
              <w:bottom w:val="nil"/>
              <w:right w:val="nil"/>
            </w:tcBorders>
            <w:noWrap/>
            <w:vAlign w:val="center"/>
            <w:hideMark/>
          </w:tcPr>
          <w:p w14:paraId="023FB02E"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p>
        </w:tc>
        <w:tc>
          <w:tcPr>
            <w:tcW w:w="1800" w:type="dxa"/>
            <w:tcBorders>
              <w:top w:val="nil"/>
              <w:left w:val="nil"/>
              <w:bottom w:val="nil"/>
              <w:right w:val="nil"/>
            </w:tcBorders>
            <w:noWrap/>
            <w:vAlign w:val="center"/>
            <w:hideMark/>
          </w:tcPr>
          <w:p w14:paraId="60567C0C" w14:textId="77777777" w:rsidR="00462CB1" w:rsidRPr="00462CB1" w:rsidRDefault="00462CB1" w:rsidP="00462CB1">
            <w:pPr>
              <w:spacing w:after="0" w:line="240" w:lineRule="auto"/>
              <w:jc w:val="center"/>
              <w:rPr>
                <w:rFonts w:ascii="Times New Roman" w:eastAsia="Times New Roman" w:hAnsi="Times New Roman" w:cs="Times New Roman"/>
                <w:kern w:val="0"/>
                <w:sz w:val="20"/>
                <w:szCs w:val="20"/>
                <w:lang w:eastAsia="en-GB"/>
                <w14:ligatures w14:val="none"/>
              </w:rPr>
            </w:pPr>
          </w:p>
        </w:tc>
        <w:tc>
          <w:tcPr>
            <w:tcW w:w="1056" w:type="dxa"/>
            <w:tcBorders>
              <w:top w:val="nil"/>
              <w:left w:val="nil"/>
              <w:bottom w:val="nil"/>
              <w:right w:val="nil"/>
            </w:tcBorders>
            <w:noWrap/>
            <w:vAlign w:val="center"/>
            <w:hideMark/>
          </w:tcPr>
          <w:p w14:paraId="70E1C00F" w14:textId="77777777" w:rsidR="00462CB1" w:rsidRPr="00462CB1" w:rsidRDefault="00462CB1" w:rsidP="00462CB1">
            <w:pPr>
              <w:spacing w:after="0" w:line="240" w:lineRule="auto"/>
              <w:jc w:val="center"/>
              <w:rPr>
                <w:rFonts w:ascii="Times New Roman" w:eastAsia="Times New Roman" w:hAnsi="Times New Roman" w:cs="Times New Roman"/>
                <w:kern w:val="0"/>
                <w:sz w:val="20"/>
                <w:szCs w:val="20"/>
                <w:lang w:eastAsia="en-GB"/>
                <w14:ligatures w14:val="none"/>
              </w:rPr>
            </w:pPr>
          </w:p>
        </w:tc>
      </w:tr>
      <w:tr w:rsidR="00462CB1" w:rsidRPr="00462CB1" w14:paraId="1D08A6D1" w14:textId="77777777" w:rsidTr="00A01A22">
        <w:trPr>
          <w:trHeight w:val="63"/>
          <w:jc w:val="center"/>
        </w:trPr>
        <w:tc>
          <w:tcPr>
            <w:tcW w:w="4061" w:type="dxa"/>
            <w:tcBorders>
              <w:top w:val="nil"/>
              <w:left w:val="nil"/>
              <w:bottom w:val="nil"/>
              <w:right w:val="nil"/>
            </w:tcBorders>
            <w:noWrap/>
            <w:vAlign w:val="center"/>
            <w:hideMark/>
          </w:tcPr>
          <w:p w14:paraId="3EFB1C23"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NT-proBNP (ng/ml), Mean ± SD</w:t>
            </w:r>
          </w:p>
        </w:tc>
        <w:tc>
          <w:tcPr>
            <w:tcW w:w="2078" w:type="dxa"/>
            <w:tcBorders>
              <w:top w:val="nil"/>
              <w:left w:val="nil"/>
              <w:bottom w:val="nil"/>
              <w:right w:val="nil"/>
            </w:tcBorders>
            <w:noWrap/>
            <w:vAlign w:val="center"/>
            <w:hideMark/>
          </w:tcPr>
          <w:p w14:paraId="42734048"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7.30 ± 2.89</w:t>
            </w:r>
          </w:p>
        </w:tc>
        <w:tc>
          <w:tcPr>
            <w:tcW w:w="1800" w:type="dxa"/>
            <w:tcBorders>
              <w:top w:val="nil"/>
              <w:left w:val="nil"/>
              <w:bottom w:val="nil"/>
              <w:right w:val="nil"/>
            </w:tcBorders>
            <w:noWrap/>
            <w:vAlign w:val="center"/>
            <w:hideMark/>
          </w:tcPr>
          <w:p w14:paraId="5A75F4A1"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4.41 ± 1.03</w:t>
            </w:r>
          </w:p>
        </w:tc>
        <w:tc>
          <w:tcPr>
            <w:tcW w:w="1056" w:type="dxa"/>
            <w:tcBorders>
              <w:top w:val="nil"/>
              <w:left w:val="nil"/>
              <w:bottom w:val="nil"/>
              <w:right w:val="nil"/>
            </w:tcBorders>
            <w:noWrap/>
            <w:vAlign w:val="center"/>
            <w:hideMark/>
          </w:tcPr>
          <w:p w14:paraId="7A36A298"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&lt;0.0001</w:t>
            </w:r>
          </w:p>
        </w:tc>
      </w:tr>
      <w:tr w:rsidR="00462CB1" w:rsidRPr="00462CB1" w14:paraId="783D3266" w14:textId="77777777" w:rsidTr="00A01A22">
        <w:trPr>
          <w:trHeight w:val="63"/>
          <w:jc w:val="center"/>
        </w:trPr>
        <w:tc>
          <w:tcPr>
            <w:tcW w:w="4061" w:type="dxa"/>
            <w:tcBorders>
              <w:top w:val="nil"/>
              <w:left w:val="nil"/>
              <w:bottom w:val="single" w:sz="4" w:space="0" w:color="auto"/>
              <w:right w:val="nil"/>
            </w:tcBorders>
            <w:noWrap/>
            <w:vAlign w:val="center"/>
            <w:hideMark/>
          </w:tcPr>
          <w:p w14:paraId="6FF474AB" w14:textId="77777777" w:rsidR="00462CB1" w:rsidRPr="00462CB1" w:rsidRDefault="00462CB1" w:rsidP="00462CB1">
            <w:pPr>
              <w:spacing w:after="0" w:line="240" w:lineRule="auto"/>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Copeptin (ng/L), Mean ± SD</w:t>
            </w:r>
          </w:p>
        </w:tc>
        <w:tc>
          <w:tcPr>
            <w:tcW w:w="2078" w:type="dxa"/>
            <w:tcBorders>
              <w:top w:val="nil"/>
              <w:left w:val="nil"/>
              <w:bottom w:val="single" w:sz="4" w:space="0" w:color="auto"/>
              <w:right w:val="nil"/>
            </w:tcBorders>
            <w:noWrap/>
            <w:vAlign w:val="center"/>
            <w:hideMark/>
          </w:tcPr>
          <w:p w14:paraId="102CAEAC"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3.27 ± 1.72</w:t>
            </w:r>
          </w:p>
        </w:tc>
        <w:tc>
          <w:tcPr>
            <w:tcW w:w="1800" w:type="dxa"/>
            <w:tcBorders>
              <w:top w:val="nil"/>
              <w:left w:val="nil"/>
              <w:bottom w:val="single" w:sz="4" w:space="0" w:color="auto"/>
              <w:right w:val="nil"/>
            </w:tcBorders>
            <w:noWrap/>
            <w:vAlign w:val="center"/>
            <w:hideMark/>
          </w:tcPr>
          <w:p w14:paraId="1D35BB5A"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1.67 ± 0.83</w:t>
            </w:r>
          </w:p>
        </w:tc>
        <w:tc>
          <w:tcPr>
            <w:tcW w:w="1056" w:type="dxa"/>
            <w:tcBorders>
              <w:top w:val="nil"/>
              <w:left w:val="nil"/>
              <w:bottom w:val="single" w:sz="4" w:space="0" w:color="auto"/>
              <w:right w:val="nil"/>
            </w:tcBorders>
            <w:noWrap/>
            <w:vAlign w:val="center"/>
            <w:hideMark/>
          </w:tcPr>
          <w:p w14:paraId="31612E62" w14:textId="77777777" w:rsidR="00462CB1" w:rsidRPr="00462CB1" w:rsidRDefault="00462CB1" w:rsidP="00462CB1">
            <w:pPr>
              <w:spacing w:after="0" w:line="240" w:lineRule="auto"/>
              <w:jc w:val="center"/>
              <w:rPr>
                <w:rFonts w:ascii="Arial" w:eastAsia="Times New Roman" w:hAnsi="Arial" w:cs="Arial"/>
                <w:color w:val="000000"/>
                <w:kern w:val="0"/>
                <w:sz w:val="20"/>
                <w:szCs w:val="20"/>
                <w:lang w:eastAsia="en-GB"/>
                <w14:ligatures w14:val="none"/>
              </w:rPr>
            </w:pPr>
            <w:r w:rsidRPr="00462CB1">
              <w:rPr>
                <w:rFonts w:ascii="Arial" w:eastAsia="Times New Roman" w:hAnsi="Arial" w:cs="Arial"/>
                <w:color w:val="000000"/>
                <w:kern w:val="0"/>
                <w:sz w:val="20"/>
                <w:szCs w:val="20"/>
                <w:lang w:eastAsia="en-GB"/>
                <w14:ligatures w14:val="none"/>
              </w:rPr>
              <w:t>&lt;0.001</w:t>
            </w:r>
          </w:p>
        </w:tc>
      </w:tr>
    </w:tbl>
    <w:p w14:paraId="58F62FD7" w14:textId="24891974" w:rsidR="00076FD8" w:rsidRPr="00EB4694" w:rsidRDefault="00076FD8" w:rsidP="00076FD8">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EB4694">
        <w:rPr>
          <w:rFonts w:ascii="Arial" w:eastAsia="Times New Roman" w:hAnsi="Arial" w:cs="Arial"/>
          <w:color w:val="0F1115"/>
          <w:kern w:val="0"/>
          <w:sz w:val="20"/>
          <w:szCs w:val="20"/>
          <w:lang w:eastAsia="en-GB"/>
          <w14:ligatures w14:val="none"/>
        </w:rPr>
        <w:t>Categorical variables presented as frequencies and percentages. Independent t-test for continuous variables; χ² test for categorical variables</w:t>
      </w:r>
    </w:p>
    <w:p w14:paraId="128F6C92" w14:textId="77777777" w:rsidR="00076FD8" w:rsidRPr="00EB4694" w:rsidRDefault="00076FD8"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DF31C7D" w14:textId="77777777" w:rsidR="001659D7" w:rsidRDefault="001659D7"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1659D7" w:rsidSect="001659D7">
          <w:type w:val="continuous"/>
          <w:pgSz w:w="11906" w:h="16838"/>
          <w:pgMar w:top="1440" w:right="1440" w:bottom="1440" w:left="1440" w:header="720" w:footer="720" w:gutter="0"/>
          <w:cols w:space="720"/>
          <w:titlePg/>
          <w:docGrid w:linePitch="360"/>
        </w:sectPr>
      </w:pPr>
    </w:p>
    <w:p w14:paraId="5B9DB538" w14:textId="77777777" w:rsidR="00D73BFC" w:rsidRPr="00D85EC7"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D85EC7">
        <w:rPr>
          <w:rFonts w:ascii="Arial" w:eastAsia="Times New Roman" w:hAnsi="Arial" w:cs="Arial"/>
          <w:i/>
          <w:iCs/>
          <w:color w:val="0F1115"/>
          <w:kern w:val="0"/>
          <w:sz w:val="20"/>
          <w:szCs w:val="20"/>
          <w:lang w:eastAsia="en-GB"/>
          <w14:ligatures w14:val="none"/>
        </w:rPr>
        <w:t>Diagnostic performance of NT</w:t>
      </w:r>
      <w:r w:rsidRPr="00D85EC7">
        <w:rPr>
          <w:rFonts w:ascii="Arial" w:eastAsia="Times New Roman" w:hAnsi="Arial" w:cs="Arial"/>
          <w:i/>
          <w:iCs/>
          <w:color w:val="0F1115"/>
          <w:kern w:val="0"/>
          <w:sz w:val="20"/>
          <w:szCs w:val="20"/>
          <w:lang w:eastAsia="en-GB"/>
          <w14:ligatures w14:val="none"/>
        </w:rPr>
        <w:noBreakHyphen/>
        <w:t>proBNP and copeptin</w:t>
      </w:r>
    </w:p>
    <w:p w14:paraId="4C3DFD76" w14:textId="77777777"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ROC curve analysis was performed to evaluate the ability of each biomarker to discriminate HF patients from healthy controls (Table 2, Figure 1). Both biomarkers demonstrated good discriminatory power. NT</w:t>
      </w:r>
      <w:r w:rsidRPr="00EC7F67">
        <w:rPr>
          <w:rFonts w:ascii="Arial" w:eastAsia="Times New Roman" w:hAnsi="Arial" w:cs="Arial"/>
          <w:color w:val="0F1115"/>
          <w:kern w:val="0"/>
          <w:sz w:val="20"/>
          <w:szCs w:val="20"/>
          <w:lang w:eastAsia="en-GB"/>
          <w14:ligatures w14:val="none"/>
        </w:rPr>
        <w:noBreakHyphen/>
        <w:t>proBNP achieved an AUC of 0.87 (95% CI: 0.80–0.90; p&lt;0.0001). Using an optimal cut</w:t>
      </w:r>
      <w:r w:rsidRPr="00EC7F67">
        <w:rPr>
          <w:rFonts w:ascii="Arial" w:eastAsia="Times New Roman" w:hAnsi="Arial" w:cs="Arial"/>
          <w:color w:val="0F1115"/>
          <w:kern w:val="0"/>
          <w:sz w:val="20"/>
          <w:szCs w:val="20"/>
          <w:lang w:eastAsia="en-GB"/>
          <w14:ligatures w14:val="none"/>
        </w:rPr>
        <w:noBreakHyphen/>
        <w:t>off value of &gt;5.99 ng/mL, NT</w:t>
      </w:r>
      <w:r w:rsidRPr="00EC7F67">
        <w:rPr>
          <w:rFonts w:ascii="Arial" w:eastAsia="Times New Roman" w:hAnsi="Arial" w:cs="Arial"/>
          <w:color w:val="0F1115"/>
          <w:kern w:val="0"/>
          <w:sz w:val="20"/>
          <w:szCs w:val="20"/>
          <w:lang w:eastAsia="en-GB"/>
          <w14:ligatures w14:val="none"/>
        </w:rPr>
        <w:noBreakHyphen/>
        <w:t xml:space="preserve">proBNP showed a sensitivity of 64.0% and a </w:t>
      </w:r>
      <w:r w:rsidRPr="00EC7F67">
        <w:rPr>
          <w:rFonts w:ascii="Arial" w:eastAsia="Times New Roman" w:hAnsi="Arial" w:cs="Arial"/>
          <w:color w:val="0F1115"/>
          <w:kern w:val="0"/>
          <w:sz w:val="20"/>
          <w:szCs w:val="20"/>
          <w:lang w:eastAsia="en-GB"/>
          <w14:ligatures w14:val="none"/>
        </w:rPr>
        <w:t>specificity of 99.0%, with an overall diagnostic accuracy of 77.8%. Copeptin yielded an AUC of 0.84 (95% CI: 0.80–0.90; p&lt;0.001). At a cut</w:t>
      </w:r>
      <w:r w:rsidRPr="00EC7F67">
        <w:rPr>
          <w:rFonts w:ascii="Arial" w:eastAsia="Times New Roman" w:hAnsi="Arial" w:cs="Arial"/>
          <w:color w:val="0F1115"/>
          <w:kern w:val="0"/>
          <w:sz w:val="20"/>
          <w:szCs w:val="20"/>
          <w:lang w:eastAsia="en-GB"/>
          <w14:ligatures w14:val="none"/>
        </w:rPr>
        <w:noBreakHyphen/>
        <w:t>off of &gt;2.1 ng/L, copeptin demonstrated a higher sensitivity (81.9%) but lower specificity (74.0%) and an accuracy of 77.9%. The high specificity of NT</w:t>
      </w:r>
      <w:r w:rsidRPr="00EC7F67">
        <w:rPr>
          <w:rFonts w:ascii="Arial" w:eastAsia="Times New Roman" w:hAnsi="Arial" w:cs="Arial"/>
          <w:color w:val="0F1115"/>
          <w:kern w:val="0"/>
          <w:sz w:val="20"/>
          <w:szCs w:val="20"/>
          <w:lang w:eastAsia="en-GB"/>
          <w14:ligatures w14:val="none"/>
        </w:rPr>
        <w:noBreakHyphen/>
        <w:t>proBNP indicates a strong “rule</w:t>
      </w:r>
      <w:r w:rsidRPr="00EC7F67">
        <w:rPr>
          <w:rFonts w:ascii="Arial" w:eastAsia="Times New Roman" w:hAnsi="Arial" w:cs="Arial"/>
          <w:color w:val="0F1115"/>
          <w:kern w:val="0"/>
          <w:sz w:val="20"/>
          <w:szCs w:val="20"/>
          <w:lang w:eastAsia="en-GB"/>
          <w14:ligatures w14:val="none"/>
        </w:rPr>
        <w:noBreakHyphen/>
        <w:t>in” capability, whereas the higher sensitivity of copeptin suggests better performance as a “rule</w:t>
      </w:r>
      <w:r w:rsidRPr="00EC7F67">
        <w:rPr>
          <w:rFonts w:ascii="Arial" w:eastAsia="Times New Roman" w:hAnsi="Arial" w:cs="Arial"/>
          <w:color w:val="0F1115"/>
          <w:kern w:val="0"/>
          <w:sz w:val="20"/>
          <w:szCs w:val="20"/>
          <w:lang w:eastAsia="en-GB"/>
          <w14:ligatures w14:val="none"/>
        </w:rPr>
        <w:noBreakHyphen/>
        <w:t>out” or screening test.</w:t>
      </w:r>
    </w:p>
    <w:p w14:paraId="4298992A" w14:textId="77777777" w:rsidR="001659D7" w:rsidRDefault="001659D7"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1659D7" w:rsidSect="001659D7">
          <w:type w:val="continuous"/>
          <w:pgSz w:w="11906" w:h="16838"/>
          <w:pgMar w:top="1440" w:right="1440" w:bottom="1440" w:left="1440" w:header="720" w:footer="720" w:gutter="0"/>
          <w:cols w:num="2" w:space="432"/>
          <w:titlePg/>
          <w:docGrid w:linePitch="360"/>
        </w:sectPr>
      </w:pPr>
    </w:p>
    <w:p w14:paraId="5622FDB3" w14:textId="77777777" w:rsidR="00652EBE" w:rsidRPr="00EC7F67" w:rsidRDefault="00652EBE"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79816B5" w14:textId="388312EC" w:rsidR="00F74E01" w:rsidRDefault="00D73BFC" w:rsidP="00F74E01">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EC7F67">
        <w:rPr>
          <w:rFonts w:ascii="Arial" w:eastAsia="Times New Roman" w:hAnsi="Arial" w:cs="Arial"/>
          <w:b/>
          <w:bCs/>
          <w:color w:val="0F1115"/>
          <w:kern w:val="0"/>
          <w:sz w:val="20"/>
          <w:szCs w:val="20"/>
          <w:lang w:eastAsia="en-GB"/>
          <w14:ligatures w14:val="none"/>
        </w:rPr>
        <w:t>Table 2</w:t>
      </w:r>
      <w:r w:rsidR="00790B86">
        <w:rPr>
          <w:rFonts w:ascii="Arial" w:eastAsia="Times New Roman" w:hAnsi="Arial" w:cs="Arial"/>
          <w:b/>
          <w:bCs/>
          <w:color w:val="0F1115"/>
          <w:kern w:val="0"/>
          <w:sz w:val="20"/>
          <w:szCs w:val="20"/>
          <w:lang w:eastAsia="en-GB"/>
          <w14:ligatures w14:val="none"/>
        </w:rPr>
        <w:t xml:space="preserve">: </w:t>
      </w:r>
      <w:r w:rsidR="00790B86" w:rsidRPr="00790B86">
        <w:rPr>
          <w:rFonts w:ascii="Arial" w:eastAsia="Times New Roman" w:hAnsi="Arial" w:cs="Arial"/>
          <w:b/>
          <w:bCs/>
          <w:color w:val="0F1115"/>
          <w:kern w:val="0"/>
          <w:sz w:val="20"/>
          <w:szCs w:val="20"/>
          <w:lang w:eastAsia="en-GB"/>
          <w14:ligatures w14:val="none"/>
        </w:rPr>
        <w:t>Receiver Operating Characteristic Curve Analysis for Diagnostic Performance of Biomarkers in HF</w:t>
      </w:r>
    </w:p>
    <w:tbl>
      <w:tblPr>
        <w:tblW w:w="9107" w:type="dxa"/>
        <w:jc w:val="center"/>
        <w:tblLook w:val="04A0" w:firstRow="1" w:lastRow="0" w:firstColumn="1" w:lastColumn="0" w:noHBand="0" w:noVBand="1"/>
      </w:tblPr>
      <w:tblGrid>
        <w:gridCol w:w="1361"/>
        <w:gridCol w:w="650"/>
        <w:gridCol w:w="1216"/>
        <w:gridCol w:w="1273"/>
        <w:gridCol w:w="1217"/>
        <w:gridCol w:w="1217"/>
        <w:gridCol w:w="1117"/>
        <w:gridCol w:w="1056"/>
      </w:tblGrid>
      <w:tr w:rsidR="005A30E8" w:rsidRPr="005A30E8" w14:paraId="1180C3E4" w14:textId="77777777" w:rsidTr="00A01A22">
        <w:trPr>
          <w:trHeight w:val="134"/>
          <w:jc w:val="center"/>
        </w:trPr>
        <w:tc>
          <w:tcPr>
            <w:tcW w:w="1361" w:type="dxa"/>
            <w:tcBorders>
              <w:top w:val="single" w:sz="4" w:space="0" w:color="auto"/>
              <w:left w:val="nil"/>
              <w:bottom w:val="single" w:sz="4" w:space="0" w:color="auto"/>
              <w:right w:val="nil"/>
            </w:tcBorders>
            <w:noWrap/>
            <w:vAlign w:val="center"/>
            <w:hideMark/>
          </w:tcPr>
          <w:p w14:paraId="71150EE8" w14:textId="77777777" w:rsidR="005A30E8" w:rsidRPr="005A30E8" w:rsidRDefault="005A30E8" w:rsidP="005A30E8">
            <w:pPr>
              <w:spacing w:after="0" w:line="240" w:lineRule="auto"/>
              <w:jc w:val="center"/>
              <w:rPr>
                <w:rFonts w:ascii="Arial" w:eastAsia="Times New Roman" w:hAnsi="Arial" w:cs="Arial"/>
                <w:b/>
                <w:bCs/>
                <w:color w:val="000000"/>
                <w:kern w:val="0"/>
                <w:sz w:val="20"/>
                <w:szCs w:val="20"/>
                <w:lang w:eastAsia="en-GB"/>
                <w14:ligatures w14:val="none"/>
              </w:rPr>
            </w:pPr>
            <w:r w:rsidRPr="005A30E8">
              <w:rPr>
                <w:rFonts w:ascii="Arial" w:eastAsia="Times New Roman" w:hAnsi="Arial" w:cs="Arial"/>
                <w:b/>
                <w:bCs/>
                <w:color w:val="000000"/>
                <w:kern w:val="0"/>
                <w:sz w:val="20"/>
                <w:szCs w:val="20"/>
                <w:lang w:eastAsia="en-GB"/>
                <w14:ligatures w14:val="none"/>
              </w:rPr>
              <w:t>Biomarker</w:t>
            </w:r>
          </w:p>
        </w:tc>
        <w:tc>
          <w:tcPr>
            <w:tcW w:w="650" w:type="dxa"/>
            <w:tcBorders>
              <w:top w:val="single" w:sz="4" w:space="0" w:color="auto"/>
              <w:left w:val="nil"/>
              <w:bottom w:val="single" w:sz="4" w:space="0" w:color="auto"/>
              <w:right w:val="nil"/>
            </w:tcBorders>
            <w:noWrap/>
            <w:vAlign w:val="center"/>
            <w:hideMark/>
          </w:tcPr>
          <w:p w14:paraId="4FE9DA55" w14:textId="77777777" w:rsidR="005A30E8" w:rsidRPr="005A30E8" w:rsidRDefault="005A30E8" w:rsidP="005A30E8">
            <w:pPr>
              <w:spacing w:after="0" w:line="240" w:lineRule="auto"/>
              <w:jc w:val="center"/>
              <w:rPr>
                <w:rFonts w:ascii="Arial" w:eastAsia="Times New Roman" w:hAnsi="Arial" w:cs="Arial"/>
                <w:b/>
                <w:bCs/>
                <w:color w:val="000000"/>
                <w:kern w:val="0"/>
                <w:sz w:val="20"/>
                <w:szCs w:val="20"/>
                <w:lang w:eastAsia="en-GB"/>
                <w14:ligatures w14:val="none"/>
              </w:rPr>
            </w:pPr>
            <w:r w:rsidRPr="005A30E8">
              <w:rPr>
                <w:rFonts w:ascii="Arial" w:eastAsia="Times New Roman" w:hAnsi="Arial" w:cs="Arial"/>
                <w:b/>
                <w:bCs/>
                <w:color w:val="000000"/>
                <w:kern w:val="0"/>
                <w:sz w:val="20"/>
                <w:szCs w:val="20"/>
                <w:lang w:eastAsia="en-GB"/>
                <w14:ligatures w14:val="none"/>
              </w:rPr>
              <w:t>AUC</w:t>
            </w:r>
          </w:p>
        </w:tc>
        <w:tc>
          <w:tcPr>
            <w:tcW w:w="1216" w:type="dxa"/>
            <w:tcBorders>
              <w:top w:val="single" w:sz="4" w:space="0" w:color="auto"/>
              <w:left w:val="nil"/>
              <w:bottom w:val="single" w:sz="4" w:space="0" w:color="auto"/>
              <w:right w:val="nil"/>
            </w:tcBorders>
            <w:noWrap/>
            <w:vAlign w:val="center"/>
            <w:hideMark/>
          </w:tcPr>
          <w:p w14:paraId="5969D90D" w14:textId="77777777" w:rsidR="005A30E8" w:rsidRPr="005A30E8" w:rsidRDefault="005A30E8" w:rsidP="005A30E8">
            <w:pPr>
              <w:spacing w:after="0" w:line="240" w:lineRule="auto"/>
              <w:jc w:val="center"/>
              <w:rPr>
                <w:rFonts w:ascii="Arial" w:eastAsia="Times New Roman" w:hAnsi="Arial" w:cs="Arial"/>
                <w:b/>
                <w:bCs/>
                <w:color w:val="000000"/>
                <w:kern w:val="0"/>
                <w:sz w:val="20"/>
                <w:szCs w:val="20"/>
                <w:lang w:eastAsia="en-GB"/>
                <w14:ligatures w14:val="none"/>
              </w:rPr>
            </w:pPr>
            <w:r w:rsidRPr="005A30E8">
              <w:rPr>
                <w:rFonts w:ascii="Arial" w:eastAsia="Times New Roman" w:hAnsi="Arial" w:cs="Arial"/>
                <w:b/>
                <w:bCs/>
                <w:color w:val="000000"/>
                <w:kern w:val="0"/>
                <w:sz w:val="20"/>
                <w:szCs w:val="20"/>
                <w:lang w:eastAsia="en-GB"/>
                <w14:ligatures w14:val="none"/>
              </w:rPr>
              <w:t>95% CI</w:t>
            </w:r>
          </w:p>
        </w:tc>
        <w:tc>
          <w:tcPr>
            <w:tcW w:w="1273" w:type="dxa"/>
            <w:tcBorders>
              <w:top w:val="single" w:sz="4" w:space="0" w:color="auto"/>
              <w:left w:val="nil"/>
              <w:bottom w:val="single" w:sz="4" w:space="0" w:color="auto"/>
              <w:right w:val="nil"/>
            </w:tcBorders>
            <w:noWrap/>
            <w:vAlign w:val="center"/>
            <w:hideMark/>
          </w:tcPr>
          <w:p w14:paraId="4CB8B052" w14:textId="77777777" w:rsidR="005A30E8" w:rsidRPr="005A30E8" w:rsidRDefault="005A30E8" w:rsidP="005A30E8">
            <w:pPr>
              <w:spacing w:after="0" w:line="240" w:lineRule="auto"/>
              <w:jc w:val="center"/>
              <w:rPr>
                <w:rFonts w:ascii="Arial" w:eastAsia="Times New Roman" w:hAnsi="Arial" w:cs="Arial"/>
                <w:b/>
                <w:bCs/>
                <w:color w:val="000000"/>
                <w:kern w:val="0"/>
                <w:sz w:val="20"/>
                <w:szCs w:val="20"/>
                <w:lang w:eastAsia="en-GB"/>
                <w14:ligatures w14:val="none"/>
              </w:rPr>
            </w:pPr>
            <w:r w:rsidRPr="005A30E8">
              <w:rPr>
                <w:rFonts w:ascii="Arial" w:eastAsia="Times New Roman" w:hAnsi="Arial" w:cs="Arial"/>
                <w:b/>
                <w:bCs/>
                <w:color w:val="000000"/>
                <w:kern w:val="0"/>
                <w:sz w:val="20"/>
                <w:szCs w:val="20"/>
                <w:lang w:eastAsia="en-GB"/>
                <w14:ligatures w14:val="none"/>
              </w:rPr>
              <w:t>Optimal Cutoff</w:t>
            </w:r>
          </w:p>
        </w:tc>
        <w:tc>
          <w:tcPr>
            <w:tcW w:w="1217" w:type="dxa"/>
            <w:tcBorders>
              <w:top w:val="single" w:sz="4" w:space="0" w:color="auto"/>
              <w:left w:val="nil"/>
              <w:bottom w:val="single" w:sz="4" w:space="0" w:color="auto"/>
              <w:right w:val="nil"/>
            </w:tcBorders>
            <w:noWrap/>
            <w:vAlign w:val="center"/>
            <w:hideMark/>
          </w:tcPr>
          <w:p w14:paraId="64512981" w14:textId="77777777" w:rsidR="005A30E8" w:rsidRPr="005A30E8" w:rsidRDefault="005A30E8" w:rsidP="005A30E8">
            <w:pPr>
              <w:spacing w:after="0" w:line="240" w:lineRule="auto"/>
              <w:jc w:val="center"/>
              <w:rPr>
                <w:rFonts w:ascii="Arial" w:eastAsia="Times New Roman" w:hAnsi="Arial" w:cs="Arial"/>
                <w:b/>
                <w:bCs/>
                <w:color w:val="000000"/>
                <w:kern w:val="0"/>
                <w:sz w:val="20"/>
                <w:szCs w:val="20"/>
                <w:lang w:eastAsia="en-GB"/>
                <w14:ligatures w14:val="none"/>
              </w:rPr>
            </w:pPr>
            <w:r w:rsidRPr="005A30E8">
              <w:rPr>
                <w:rFonts w:ascii="Arial" w:eastAsia="Times New Roman" w:hAnsi="Arial" w:cs="Arial"/>
                <w:b/>
                <w:bCs/>
                <w:color w:val="000000"/>
                <w:kern w:val="0"/>
                <w:sz w:val="20"/>
                <w:szCs w:val="20"/>
                <w:lang w:eastAsia="en-GB"/>
                <w14:ligatures w14:val="none"/>
              </w:rPr>
              <w:t>Sensitivity (%)</w:t>
            </w:r>
          </w:p>
        </w:tc>
        <w:tc>
          <w:tcPr>
            <w:tcW w:w="1217" w:type="dxa"/>
            <w:tcBorders>
              <w:top w:val="single" w:sz="4" w:space="0" w:color="auto"/>
              <w:left w:val="nil"/>
              <w:bottom w:val="single" w:sz="4" w:space="0" w:color="auto"/>
              <w:right w:val="nil"/>
            </w:tcBorders>
            <w:noWrap/>
            <w:vAlign w:val="center"/>
            <w:hideMark/>
          </w:tcPr>
          <w:p w14:paraId="18B23366" w14:textId="77777777" w:rsidR="005A30E8" w:rsidRPr="005A30E8" w:rsidRDefault="005A30E8" w:rsidP="005A30E8">
            <w:pPr>
              <w:spacing w:after="0" w:line="240" w:lineRule="auto"/>
              <w:jc w:val="center"/>
              <w:rPr>
                <w:rFonts w:ascii="Arial" w:eastAsia="Times New Roman" w:hAnsi="Arial" w:cs="Arial"/>
                <w:b/>
                <w:bCs/>
                <w:color w:val="000000"/>
                <w:kern w:val="0"/>
                <w:sz w:val="20"/>
                <w:szCs w:val="20"/>
                <w:lang w:eastAsia="en-GB"/>
                <w14:ligatures w14:val="none"/>
              </w:rPr>
            </w:pPr>
            <w:r w:rsidRPr="005A30E8">
              <w:rPr>
                <w:rFonts w:ascii="Arial" w:eastAsia="Times New Roman" w:hAnsi="Arial" w:cs="Arial"/>
                <w:b/>
                <w:bCs/>
                <w:color w:val="000000"/>
                <w:kern w:val="0"/>
                <w:sz w:val="20"/>
                <w:szCs w:val="20"/>
                <w:lang w:eastAsia="en-GB"/>
                <w14:ligatures w14:val="none"/>
              </w:rPr>
              <w:t>Specificity (%)</w:t>
            </w:r>
          </w:p>
        </w:tc>
        <w:tc>
          <w:tcPr>
            <w:tcW w:w="1117" w:type="dxa"/>
            <w:tcBorders>
              <w:top w:val="single" w:sz="4" w:space="0" w:color="auto"/>
              <w:left w:val="nil"/>
              <w:bottom w:val="single" w:sz="4" w:space="0" w:color="auto"/>
              <w:right w:val="nil"/>
            </w:tcBorders>
            <w:noWrap/>
            <w:vAlign w:val="center"/>
            <w:hideMark/>
          </w:tcPr>
          <w:p w14:paraId="076A9B5D" w14:textId="77777777" w:rsidR="005A30E8" w:rsidRPr="005A30E8" w:rsidRDefault="005A30E8" w:rsidP="005A30E8">
            <w:pPr>
              <w:spacing w:after="0" w:line="240" w:lineRule="auto"/>
              <w:jc w:val="center"/>
              <w:rPr>
                <w:rFonts w:ascii="Arial" w:eastAsia="Times New Roman" w:hAnsi="Arial" w:cs="Arial"/>
                <w:b/>
                <w:bCs/>
                <w:color w:val="000000"/>
                <w:kern w:val="0"/>
                <w:sz w:val="20"/>
                <w:szCs w:val="20"/>
                <w:lang w:eastAsia="en-GB"/>
                <w14:ligatures w14:val="none"/>
              </w:rPr>
            </w:pPr>
            <w:r w:rsidRPr="005A30E8">
              <w:rPr>
                <w:rFonts w:ascii="Arial" w:eastAsia="Times New Roman" w:hAnsi="Arial" w:cs="Arial"/>
                <w:b/>
                <w:bCs/>
                <w:color w:val="000000"/>
                <w:kern w:val="0"/>
                <w:sz w:val="20"/>
                <w:szCs w:val="20"/>
                <w:lang w:eastAsia="en-GB"/>
                <w14:ligatures w14:val="none"/>
              </w:rPr>
              <w:t>Accuracy (%)</w:t>
            </w:r>
          </w:p>
        </w:tc>
        <w:tc>
          <w:tcPr>
            <w:tcW w:w="1056" w:type="dxa"/>
            <w:tcBorders>
              <w:top w:val="single" w:sz="4" w:space="0" w:color="auto"/>
              <w:left w:val="nil"/>
              <w:bottom w:val="single" w:sz="4" w:space="0" w:color="auto"/>
              <w:right w:val="nil"/>
            </w:tcBorders>
            <w:noWrap/>
            <w:vAlign w:val="center"/>
            <w:hideMark/>
          </w:tcPr>
          <w:p w14:paraId="1FD6E0F4" w14:textId="77777777" w:rsidR="005A30E8" w:rsidRPr="005A30E8" w:rsidRDefault="005A30E8" w:rsidP="005A30E8">
            <w:pPr>
              <w:spacing w:after="0" w:line="240" w:lineRule="auto"/>
              <w:jc w:val="center"/>
              <w:rPr>
                <w:rFonts w:ascii="Arial" w:eastAsia="Times New Roman" w:hAnsi="Arial" w:cs="Arial"/>
                <w:b/>
                <w:bCs/>
                <w:color w:val="000000"/>
                <w:kern w:val="0"/>
                <w:sz w:val="20"/>
                <w:szCs w:val="20"/>
                <w:lang w:eastAsia="en-GB"/>
                <w14:ligatures w14:val="none"/>
              </w:rPr>
            </w:pPr>
            <w:r w:rsidRPr="005A30E8">
              <w:rPr>
                <w:rFonts w:ascii="Arial" w:eastAsia="Times New Roman" w:hAnsi="Arial" w:cs="Arial"/>
                <w:b/>
                <w:bCs/>
                <w:color w:val="000000"/>
                <w:kern w:val="0"/>
                <w:sz w:val="20"/>
                <w:szCs w:val="20"/>
                <w:lang w:eastAsia="en-GB"/>
                <w14:ligatures w14:val="none"/>
              </w:rPr>
              <w:t>P-value</w:t>
            </w:r>
          </w:p>
        </w:tc>
      </w:tr>
      <w:tr w:rsidR="005A30E8" w:rsidRPr="005A30E8" w14:paraId="5134F0E6" w14:textId="77777777" w:rsidTr="00A01A22">
        <w:trPr>
          <w:trHeight w:val="53"/>
          <w:jc w:val="center"/>
        </w:trPr>
        <w:tc>
          <w:tcPr>
            <w:tcW w:w="1361" w:type="dxa"/>
            <w:tcBorders>
              <w:top w:val="nil"/>
              <w:left w:val="nil"/>
              <w:bottom w:val="nil"/>
              <w:right w:val="nil"/>
            </w:tcBorders>
            <w:noWrap/>
            <w:vAlign w:val="center"/>
            <w:hideMark/>
          </w:tcPr>
          <w:p w14:paraId="13E7ADBD" w14:textId="77777777" w:rsidR="005A30E8" w:rsidRPr="005A30E8" w:rsidRDefault="005A30E8" w:rsidP="005A30E8">
            <w:pPr>
              <w:spacing w:after="0" w:line="240" w:lineRule="auto"/>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NT-proBNP</w:t>
            </w:r>
          </w:p>
        </w:tc>
        <w:tc>
          <w:tcPr>
            <w:tcW w:w="650" w:type="dxa"/>
            <w:tcBorders>
              <w:top w:val="nil"/>
              <w:left w:val="nil"/>
              <w:bottom w:val="nil"/>
              <w:right w:val="nil"/>
            </w:tcBorders>
            <w:noWrap/>
            <w:vAlign w:val="center"/>
            <w:hideMark/>
          </w:tcPr>
          <w:p w14:paraId="3A00F012" w14:textId="77777777" w:rsidR="005A30E8" w:rsidRPr="005A30E8" w:rsidRDefault="005A30E8" w:rsidP="005A30E8">
            <w:pPr>
              <w:spacing w:after="0" w:line="240" w:lineRule="auto"/>
              <w:jc w:val="center"/>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0.87</w:t>
            </w:r>
          </w:p>
        </w:tc>
        <w:tc>
          <w:tcPr>
            <w:tcW w:w="1216" w:type="dxa"/>
            <w:tcBorders>
              <w:top w:val="nil"/>
              <w:left w:val="nil"/>
              <w:bottom w:val="nil"/>
              <w:right w:val="nil"/>
            </w:tcBorders>
            <w:noWrap/>
            <w:vAlign w:val="center"/>
            <w:hideMark/>
          </w:tcPr>
          <w:p w14:paraId="5106B629" w14:textId="77777777" w:rsidR="005A30E8" w:rsidRPr="005A30E8" w:rsidRDefault="005A30E8" w:rsidP="005A30E8">
            <w:pPr>
              <w:spacing w:after="0" w:line="240" w:lineRule="auto"/>
              <w:jc w:val="center"/>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0.80–0.90</w:t>
            </w:r>
          </w:p>
        </w:tc>
        <w:tc>
          <w:tcPr>
            <w:tcW w:w="1273" w:type="dxa"/>
            <w:tcBorders>
              <w:top w:val="nil"/>
              <w:left w:val="nil"/>
              <w:bottom w:val="nil"/>
              <w:right w:val="nil"/>
            </w:tcBorders>
            <w:noWrap/>
            <w:vAlign w:val="center"/>
            <w:hideMark/>
          </w:tcPr>
          <w:p w14:paraId="098711A6" w14:textId="77777777" w:rsidR="005A30E8" w:rsidRPr="005A30E8" w:rsidRDefault="005A30E8" w:rsidP="005A30E8">
            <w:pPr>
              <w:spacing w:after="0" w:line="240" w:lineRule="auto"/>
              <w:jc w:val="center"/>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&gt;5.99 ng/ml</w:t>
            </w:r>
          </w:p>
        </w:tc>
        <w:tc>
          <w:tcPr>
            <w:tcW w:w="1217" w:type="dxa"/>
            <w:tcBorders>
              <w:top w:val="nil"/>
              <w:left w:val="nil"/>
              <w:bottom w:val="nil"/>
              <w:right w:val="nil"/>
            </w:tcBorders>
            <w:noWrap/>
            <w:vAlign w:val="center"/>
            <w:hideMark/>
          </w:tcPr>
          <w:p w14:paraId="1DBCBD1D" w14:textId="77777777" w:rsidR="005A30E8" w:rsidRPr="005A30E8" w:rsidRDefault="005A30E8" w:rsidP="005A30E8">
            <w:pPr>
              <w:spacing w:after="0" w:line="240" w:lineRule="auto"/>
              <w:jc w:val="center"/>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64</w:t>
            </w:r>
          </w:p>
        </w:tc>
        <w:tc>
          <w:tcPr>
            <w:tcW w:w="1217" w:type="dxa"/>
            <w:tcBorders>
              <w:top w:val="nil"/>
              <w:left w:val="nil"/>
              <w:bottom w:val="nil"/>
              <w:right w:val="nil"/>
            </w:tcBorders>
            <w:noWrap/>
            <w:vAlign w:val="center"/>
            <w:hideMark/>
          </w:tcPr>
          <w:p w14:paraId="6CAFB0AA" w14:textId="77777777" w:rsidR="005A30E8" w:rsidRPr="005A30E8" w:rsidRDefault="005A30E8" w:rsidP="005A30E8">
            <w:pPr>
              <w:spacing w:after="0" w:line="240" w:lineRule="auto"/>
              <w:jc w:val="center"/>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99</w:t>
            </w:r>
          </w:p>
        </w:tc>
        <w:tc>
          <w:tcPr>
            <w:tcW w:w="1117" w:type="dxa"/>
            <w:tcBorders>
              <w:top w:val="nil"/>
              <w:left w:val="nil"/>
              <w:bottom w:val="nil"/>
              <w:right w:val="nil"/>
            </w:tcBorders>
            <w:noWrap/>
            <w:vAlign w:val="center"/>
            <w:hideMark/>
          </w:tcPr>
          <w:p w14:paraId="2B194D44" w14:textId="77777777" w:rsidR="005A30E8" w:rsidRPr="005A30E8" w:rsidRDefault="005A30E8" w:rsidP="005A30E8">
            <w:pPr>
              <w:spacing w:after="0" w:line="240" w:lineRule="auto"/>
              <w:jc w:val="center"/>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77.8</w:t>
            </w:r>
          </w:p>
        </w:tc>
        <w:tc>
          <w:tcPr>
            <w:tcW w:w="1056" w:type="dxa"/>
            <w:tcBorders>
              <w:top w:val="nil"/>
              <w:left w:val="nil"/>
              <w:bottom w:val="nil"/>
              <w:right w:val="nil"/>
            </w:tcBorders>
            <w:noWrap/>
            <w:vAlign w:val="center"/>
            <w:hideMark/>
          </w:tcPr>
          <w:p w14:paraId="04B5E593" w14:textId="77777777" w:rsidR="005A30E8" w:rsidRPr="005A30E8" w:rsidRDefault="005A30E8" w:rsidP="005A30E8">
            <w:pPr>
              <w:spacing w:after="0" w:line="240" w:lineRule="auto"/>
              <w:jc w:val="center"/>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&lt;0.0001</w:t>
            </w:r>
          </w:p>
        </w:tc>
      </w:tr>
      <w:tr w:rsidR="005A30E8" w:rsidRPr="005A30E8" w14:paraId="4B40EDAB" w14:textId="77777777" w:rsidTr="00A01A22">
        <w:trPr>
          <w:trHeight w:val="63"/>
          <w:jc w:val="center"/>
        </w:trPr>
        <w:tc>
          <w:tcPr>
            <w:tcW w:w="1361" w:type="dxa"/>
            <w:tcBorders>
              <w:top w:val="nil"/>
              <w:left w:val="nil"/>
              <w:bottom w:val="single" w:sz="4" w:space="0" w:color="auto"/>
              <w:right w:val="nil"/>
            </w:tcBorders>
            <w:noWrap/>
            <w:vAlign w:val="center"/>
            <w:hideMark/>
          </w:tcPr>
          <w:p w14:paraId="770A7FBE" w14:textId="77777777" w:rsidR="005A30E8" w:rsidRPr="005A30E8" w:rsidRDefault="005A30E8" w:rsidP="005A30E8">
            <w:pPr>
              <w:spacing w:after="0" w:line="240" w:lineRule="auto"/>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Copeptin</w:t>
            </w:r>
          </w:p>
        </w:tc>
        <w:tc>
          <w:tcPr>
            <w:tcW w:w="650" w:type="dxa"/>
            <w:tcBorders>
              <w:top w:val="nil"/>
              <w:left w:val="nil"/>
              <w:bottom w:val="single" w:sz="4" w:space="0" w:color="auto"/>
              <w:right w:val="nil"/>
            </w:tcBorders>
            <w:noWrap/>
            <w:vAlign w:val="center"/>
            <w:hideMark/>
          </w:tcPr>
          <w:p w14:paraId="68D39435" w14:textId="77777777" w:rsidR="005A30E8" w:rsidRPr="005A30E8" w:rsidRDefault="005A30E8" w:rsidP="005A30E8">
            <w:pPr>
              <w:spacing w:after="0" w:line="240" w:lineRule="auto"/>
              <w:jc w:val="center"/>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0.84</w:t>
            </w:r>
          </w:p>
        </w:tc>
        <w:tc>
          <w:tcPr>
            <w:tcW w:w="1216" w:type="dxa"/>
            <w:tcBorders>
              <w:top w:val="nil"/>
              <w:left w:val="nil"/>
              <w:bottom w:val="single" w:sz="4" w:space="0" w:color="auto"/>
              <w:right w:val="nil"/>
            </w:tcBorders>
            <w:noWrap/>
            <w:vAlign w:val="center"/>
            <w:hideMark/>
          </w:tcPr>
          <w:p w14:paraId="17E99C95" w14:textId="77777777" w:rsidR="005A30E8" w:rsidRPr="005A30E8" w:rsidRDefault="005A30E8" w:rsidP="005A30E8">
            <w:pPr>
              <w:spacing w:after="0" w:line="240" w:lineRule="auto"/>
              <w:jc w:val="center"/>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0.80–0.90</w:t>
            </w:r>
          </w:p>
        </w:tc>
        <w:tc>
          <w:tcPr>
            <w:tcW w:w="1273" w:type="dxa"/>
            <w:tcBorders>
              <w:top w:val="nil"/>
              <w:left w:val="nil"/>
              <w:bottom w:val="single" w:sz="4" w:space="0" w:color="auto"/>
              <w:right w:val="nil"/>
            </w:tcBorders>
            <w:noWrap/>
            <w:vAlign w:val="center"/>
            <w:hideMark/>
          </w:tcPr>
          <w:p w14:paraId="7828C61C" w14:textId="77777777" w:rsidR="005A30E8" w:rsidRPr="005A30E8" w:rsidRDefault="005A30E8" w:rsidP="005A30E8">
            <w:pPr>
              <w:spacing w:after="0" w:line="240" w:lineRule="auto"/>
              <w:jc w:val="center"/>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&gt;2.1 ng/L</w:t>
            </w:r>
          </w:p>
        </w:tc>
        <w:tc>
          <w:tcPr>
            <w:tcW w:w="1217" w:type="dxa"/>
            <w:tcBorders>
              <w:top w:val="nil"/>
              <w:left w:val="nil"/>
              <w:bottom w:val="single" w:sz="4" w:space="0" w:color="auto"/>
              <w:right w:val="nil"/>
            </w:tcBorders>
            <w:noWrap/>
            <w:vAlign w:val="center"/>
            <w:hideMark/>
          </w:tcPr>
          <w:p w14:paraId="4F451309" w14:textId="77777777" w:rsidR="005A30E8" w:rsidRPr="005A30E8" w:rsidRDefault="005A30E8" w:rsidP="005A30E8">
            <w:pPr>
              <w:spacing w:after="0" w:line="240" w:lineRule="auto"/>
              <w:jc w:val="center"/>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81.9</w:t>
            </w:r>
          </w:p>
        </w:tc>
        <w:tc>
          <w:tcPr>
            <w:tcW w:w="1217" w:type="dxa"/>
            <w:tcBorders>
              <w:top w:val="nil"/>
              <w:left w:val="nil"/>
              <w:bottom w:val="single" w:sz="4" w:space="0" w:color="auto"/>
              <w:right w:val="nil"/>
            </w:tcBorders>
            <w:noWrap/>
            <w:vAlign w:val="center"/>
            <w:hideMark/>
          </w:tcPr>
          <w:p w14:paraId="27F82BA5" w14:textId="77777777" w:rsidR="005A30E8" w:rsidRPr="005A30E8" w:rsidRDefault="005A30E8" w:rsidP="005A30E8">
            <w:pPr>
              <w:spacing w:after="0" w:line="240" w:lineRule="auto"/>
              <w:jc w:val="center"/>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74</w:t>
            </w:r>
          </w:p>
        </w:tc>
        <w:tc>
          <w:tcPr>
            <w:tcW w:w="1117" w:type="dxa"/>
            <w:tcBorders>
              <w:top w:val="nil"/>
              <w:left w:val="nil"/>
              <w:bottom w:val="single" w:sz="4" w:space="0" w:color="auto"/>
              <w:right w:val="nil"/>
            </w:tcBorders>
            <w:noWrap/>
            <w:vAlign w:val="center"/>
            <w:hideMark/>
          </w:tcPr>
          <w:p w14:paraId="76AF1794" w14:textId="77777777" w:rsidR="005A30E8" w:rsidRPr="005A30E8" w:rsidRDefault="005A30E8" w:rsidP="005A30E8">
            <w:pPr>
              <w:spacing w:after="0" w:line="240" w:lineRule="auto"/>
              <w:jc w:val="center"/>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77.9</w:t>
            </w:r>
          </w:p>
        </w:tc>
        <w:tc>
          <w:tcPr>
            <w:tcW w:w="1056" w:type="dxa"/>
            <w:tcBorders>
              <w:top w:val="nil"/>
              <w:left w:val="nil"/>
              <w:bottom w:val="single" w:sz="4" w:space="0" w:color="auto"/>
              <w:right w:val="nil"/>
            </w:tcBorders>
            <w:noWrap/>
            <w:vAlign w:val="center"/>
            <w:hideMark/>
          </w:tcPr>
          <w:p w14:paraId="36288346" w14:textId="77777777" w:rsidR="005A30E8" w:rsidRPr="005A30E8" w:rsidRDefault="005A30E8" w:rsidP="005A30E8">
            <w:pPr>
              <w:spacing w:after="0" w:line="240" w:lineRule="auto"/>
              <w:jc w:val="center"/>
              <w:rPr>
                <w:rFonts w:ascii="Arial" w:eastAsia="Times New Roman" w:hAnsi="Arial" w:cs="Arial"/>
                <w:color w:val="000000"/>
                <w:kern w:val="0"/>
                <w:sz w:val="20"/>
                <w:szCs w:val="20"/>
                <w:lang w:eastAsia="en-GB"/>
                <w14:ligatures w14:val="none"/>
              </w:rPr>
            </w:pPr>
            <w:r w:rsidRPr="005A30E8">
              <w:rPr>
                <w:rFonts w:ascii="Arial" w:eastAsia="Times New Roman" w:hAnsi="Arial" w:cs="Arial"/>
                <w:color w:val="000000"/>
                <w:kern w:val="0"/>
                <w:sz w:val="20"/>
                <w:szCs w:val="20"/>
                <w:lang w:eastAsia="en-GB"/>
                <w14:ligatures w14:val="none"/>
              </w:rPr>
              <w:t>&lt;0.001</w:t>
            </w:r>
          </w:p>
        </w:tc>
      </w:tr>
    </w:tbl>
    <w:p w14:paraId="0D3B56F1" w14:textId="75C127E4" w:rsidR="00F74E01" w:rsidRPr="00EB4694" w:rsidRDefault="00237C88" w:rsidP="00237C88">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EB4694">
        <w:rPr>
          <w:rFonts w:ascii="Arial" w:eastAsia="Times New Roman" w:hAnsi="Arial" w:cs="Arial"/>
          <w:color w:val="0F1115"/>
          <w:kern w:val="0"/>
          <w:sz w:val="20"/>
          <w:szCs w:val="20"/>
          <w:lang w:eastAsia="en-GB"/>
          <w14:ligatures w14:val="none"/>
        </w:rPr>
        <w:t>AUC = area under the curve; CI = confidence interval. Optimal cutoff determined by Youden’s index</w:t>
      </w:r>
    </w:p>
    <w:p w14:paraId="0FAF37F7" w14:textId="77777777" w:rsidR="00F74E01" w:rsidRPr="00EB4694" w:rsidRDefault="00F74E01" w:rsidP="00EC7F67">
      <w:pPr>
        <w:shd w:val="clear" w:color="auto" w:fill="FFFFFF"/>
        <w:spacing w:after="0" w:line="240" w:lineRule="auto"/>
        <w:jc w:val="both"/>
        <w:rPr>
          <w:rFonts w:ascii="Arial" w:eastAsia="Times New Roman" w:hAnsi="Arial" w:cs="Arial"/>
          <w:color w:val="0F1115"/>
          <w:kern w:val="0"/>
          <w:sz w:val="22"/>
          <w:szCs w:val="22"/>
          <w:lang w:eastAsia="en-GB"/>
          <w14:ligatures w14:val="none"/>
        </w:rPr>
      </w:pPr>
    </w:p>
    <w:p w14:paraId="44F25EED" w14:textId="03B0565C" w:rsidR="00DB500D" w:rsidRDefault="00DB500D" w:rsidP="00DB500D">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drawing>
          <wp:inline distT="0" distB="0" distL="0" distR="0" wp14:anchorId="5DBDFA4C" wp14:editId="403A5417">
            <wp:extent cx="2157416" cy="1842347"/>
            <wp:effectExtent l="0" t="0" r="0" b="5715"/>
            <wp:docPr id="11430413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87748" cy="1868249"/>
                    </a:xfrm>
                    <a:prstGeom prst="rect">
                      <a:avLst/>
                    </a:prstGeom>
                    <a:noFill/>
                  </pic:spPr>
                </pic:pic>
              </a:graphicData>
            </a:graphic>
          </wp:inline>
        </w:drawing>
      </w:r>
    </w:p>
    <w:p w14:paraId="19702DA7" w14:textId="016F54F6" w:rsidR="00DB500D" w:rsidRDefault="00DB500D" w:rsidP="00DB500D">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EC7F67">
        <w:rPr>
          <w:rFonts w:ascii="Arial" w:eastAsia="Times New Roman" w:hAnsi="Arial" w:cs="Arial"/>
          <w:b/>
          <w:bCs/>
          <w:color w:val="0F1115"/>
          <w:kern w:val="0"/>
          <w:sz w:val="20"/>
          <w:szCs w:val="20"/>
          <w:lang w:eastAsia="en-GB"/>
          <w14:ligatures w14:val="none"/>
        </w:rPr>
        <w:t>Figure 1</w:t>
      </w:r>
      <w:r>
        <w:rPr>
          <w:rFonts w:ascii="Arial" w:eastAsia="Times New Roman" w:hAnsi="Arial" w:cs="Arial"/>
          <w:b/>
          <w:bCs/>
          <w:color w:val="0F1115"/>
          <w:kern w:val="0"/>
          <w:sz w:val="20"/>
          <w:szCs w:val="20"/>
          <w:lang w:eastAsia="en-GB"/>
          <w14:ligatures w14:val="none"/>
        </w:rPr>
        <w:t>:</w:t>
      </w:r>
      <w:r w:rsidR="00EB4694">
        <w:rPr>
          <w:rFonts w:ascii="Arial" w:eastAsia="Times New Roman" w:hAnsi="Arial" w:cs="Arial"/>
          <w:b/>
          <w:bCs/>
          <w:color w:val="0F1115"/>
          <w:kern w:val="0"/>
          <w:sz w:val="20"/>
          <w:szCs w:val="20"/>
          <w:lang w:eastAsia="en-GB"/>
          <w14:ligatures w14:val="none"/>
        </w:rPr>
        <w:t xml:space="preserve"> </w:t>
      </w:r>
      <w:r w:rsidR="00793DC4" w:rsidRPr="00793DC4">
        <w:rPr>
          <w:rFonts w:ascii="Arial" w:eastAsia="Times New Roman" w:hAnsi="Arial" w:cs="Arial"/>
          <w:b/>
          <w:bCs/>
          <w:color w:val="0F1115"/>
          <w:kern w:val="0"/>
          <w:sz w:val="20"/>
          <w:szCs w:val="20"/>
          <w:lang w:eastAsia="en-GB"/>
          <w14:ligatures w14:val="none"/>
        </w:rPr>
        <w:t>ROC Curves for NT-proBNP and Copeptin</w:t>
      </w:r>
    </w:p>
    <w:p w14:paraId="1F31E965" w14:textId="77777777" w:rsidR="00EB4694" w:rsidRDefault="00EB4694" w:rsidP="00EB4694">
      <w:pPr>
        <w:shd w:val="clear" w:color="auto" w:fill="FFFFFF"/>
        <w:spacing w:after="0" w:line="240" w:lineRule="auto"/>
        <w:rPr>
          <w:rFonts w:ascii="Arial" w:eastAsia="Times New Roman" w:hAnsi="Arial" w:cs="Arial"/>
          <w:i/>
          <w:iCs/>
          <w:color w:val="0F1115"/>
          <w:kern w:val="0"/>
          <w:sz w:val="20"/>
          <w:szCs w:val="20"/>
          <w:lang w:eastAsia="en-GB"/>
          <w14:ligatures w14:val="none"/>
        </w:rPr>
      </w:pPr>
    </w:p>
    <w:p w14:paraId="7338AB1C" w14:textId="77777777" w:rsidR="001659D7" w:rsidRDefault="001659D7" w:rsidP="00EB469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1659D7" w:rsidSect="001659D7">
          <w:type w:val="continuous"/>
          <w:pgSz w:w="11906" w:h="16838"/>
          <w:pgMar w:top="1440" w:right="1440" w:bottom="1440" w:left="1440" w:header="720" w:footer="720" w:gutter="0"/>
          <w:cols w:space="720"/>
          <w:titlePg/>
          <w:docGrid w:linePitch="360"/>
        </w:sectPr>
      </w:pPr>
    </w:p>
    <w:p w14:paraId="5EA5184A" w14:textId="4A9DB4E7" w:rsidR="00D73BFC" w:rsidRPr="00EB4694" w:rsidRDefault="00D73BFC" w:rsidP="00EB4694">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D85EC7">
        <w:rPr>
          <w:rFonts w:ascii="Arial" w:eastAsia="Times New Roman" w:hAnsi="Arial" w:cs="Arial"/>
          <w:i/>
          <w:iCs/>
          <w:color w:val="0F1115"/>
          <w:kern w:val="0"/>
          <w:sz w:val="20"/>
          <w:szCs w:val="20"/>
          <w:lang w:eastAsia="en-GB"/>
          <w14:ligatures w14:val="none"/>
        </w:rPr>
        <w:lastRenderedPageBreak/>
        <w:t xml:space="preserve">Biomarker levels across </w:t>
      </w:r>
      <w:r w:rsidR="00D85EC7" w:rsidRPr="00D85EC7">
        <w:rPr>
          <w:rFonts w:ascii="Arial" w:eastAsia="Times New Roman" w:hAnsi="Arial" w:cs="Arial"/>
          <w:i/>
          <w:iCs/>
          <w:color w:val="0F1115"/>
          <w:kern w:val="0"/>
          <w:sz w:val="20"/>
          <w:szCs w:val="20"/>
          <w:lang w:eastAsia="en-GB"/>
          <w14:ligatures w14:val="none"/>
        </w:rPr>
        <w:t xml:space="preserve">the </w:t>
      </w:r>
      <w:r w:rsidRPr="00D85EC7">
        <w:rPr>
          <w:rFonts w:ascii="Arial" w:eastAsia="Times New Roman" w:hAnsi="Arial" w:cs="Arial"/>
          <w:i/>
          <w:iCs/>
          <w:color w:val="0F1115"/>
          <w:kern w:val="0"/>
          <w:sz w:val="20"/>
          <w:szCs w:val="20"/>
          <w:lang w:eastAsia="en-GB"/>
          <w14:ligatures w14:val="none"/>
        </w:rPr>
        <w:t>severity of systolic dysfunction</w:t>
      </w:r>
    </w:p>
    <w:p w14:paraId="7EA1BADA" w14:textId="77777777"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We next compared NT</w:t>
      </w:r>
      <w:r w:rsidRPr="00EC7F67">
        <w:rPr>
          <w:rFonts w:ascii="Arial" w:eastAsia="Times New Roman" w:hAnsi="Arial" w:cs="Arial"/>
          <w:color w:val="0F1115"/>
          <w:kern w:val="0"/>
          <w:sz w:val="20"/>
          <w:szCs w:val="20"/>
          <w:lang w:eastAsia="en-GB"/>
          <w14:ligatures w14:val="none"/>
        </w:rPr>
        <w:noBreakHyphen/>
        <w:t>proBNP and copeptin concentrations across the three severity categories of systolic dysfunction (mild, moderate, severe) (Table 3, Figure 2). One</w:t>
      </w:r>
      <w:r w:rsidRPr="00EC7F67">
        <w:rPr>
          <w:rFonts w:ascii="Arial" w:eastAsia="Times New Roman" w:hAnsi="Arial" w:cs="Arial"/>
          <w:color w:val="0F1115"/>
          <w:kern w:val="0"/>
          <w:sz w:val="20"/>
          <w:szCs w:val="20"/>
          <w:lang w:eastAsia="en-GB"/>
          <w14:ligatures w14:val="none"/>
        </w:rPr>
        <w:noBreakHyphen/>
        <w:t>way analysis of variance (ANOVA) with Tukey’s post</w:t>
      </w:r>
      <w:r w:rsidRPr="00EC7F67">
        <w:rPr>
          <w:rFonts w:ascii="Arial" w:eastAsia="Times New Roman" w:hAnsi="Arial" w:cs="Arial"/>
          <w:color w:val="0F1115"/>
          <w:kern w:val="0"/>
          <w:sz w:val="20"/>
          <w:szCs w:val="20"/>
          <w:lang w:eastAsia="en-GB"/>
          <w14:ligatures w14:val="none"/>
        </w:rPr>
        <w:noBreakHyphen/>
        <w:t>hoc test revealed significant differences among the groups for both biomarkers. NT</w:t>
      </w:r>
      <w:r w:rsidRPr="00EC7F67">
        <w:rPr>
          <w:rFonts w:ascii="Arial" w:eastAsia="Times New Roman" w:hAnsi="Arial" w:cs="Arial"/>
          <w:color w:val="0F1115"/>
          <w:kern w:val="0"/>
          <w:sz w:val="20"/>
          <w:szCs w:val="20"/>
          <w:lang w:eastAsia="en-GB"/>
          <w14:ligatures w14:val="none"/>
        </w:rPr>
        <w:noBreakHyphen/>
        <w:t xml:space="preserve">proBNP levels increased progressively with </w:t>
      </w:r>
      <w:r w:rsidRPr="00EC7F67">
        <w:rPr>
          <w:rFonts w:ascii="Arial" w:eastAsia="Times New Roman" w:hAnsi="Arial" w:cs="Arial"/>
          <w:color w:val="0F1115"/>
          <w:kern w:val="0"/>
          <w:sz w:val="20"/>
          <w:szCs w:val="20"/>
          <w:lang w:eastAsia="en-GB"/>
          <w14:ligatures w14:val="none"/>
        </w:rPr>
        <w:t>worsening dysfunction (mild: 0.56 ± 0.09 ng/mL; moderate: 0.65 ± 0.29 ng/mL; severe: 0.82 ± 0.38 ng/mL; overall p&lt;0.001). Post</w:t>
      </w:r>
      <w:r w:rsidRPr="00EC7F67">
        <w:rPr>
          <w:rFonts w:ascii="Arial" w:eastAsia="Times New Roman" w:hAnsi="Arial" w:cs="Arial"/>
          <w:color w:val="0F1115"/>
          <w:kern w:val="0"/>
          <w:sz w:val="20"/>
          <w:szCs w:val="20"/>
          <w:lang w:eastAsia="en-GB"/>
          <w14:ligatures w14:val="none"/>
        </w:rPr>
        <w:noBreakHyphen/>
        <w:t>hoc comparisons showed significant differences between mild and severe groups (p&lt;0.05) but not between mild and moderate or moderate and severe. Copeptin levels also differed significantly across severity groups (mild: 2.61 ± 1.07 ng/L; moderate: 2.99 ± 1.06 ng/L; severe: 4.32 ± 2.20 ng/L; overall p&lt;0.005), with a similar pattern of significance.</w:t>
      </w:r>
    </w:p>
    <w:p w14:paraId="60093C9E" w14:textId="77777777" w:rsidR="001659D7" w:rsidRDefault="001659D7"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1659D7" w:rsidSect="00880F1A">
          <w:type w:val="continuous"/>
          <w:pgSz w:w="11906" w:h="16838"/>
          <w:pgMar w:top="1440" w:right="1440" w:bottom="1440" w:left="1440" w:header="720" w:footer="720" w:gutter="0"/>
          <w:cols w:num="2" w:space="432"/>
          <w:docGrid w:linePitch="360"/>
        </w:sectPr>
      </w:pPr>
    </w:p>
    <w:p w14:paraId="037454E3" w14:textId="77777777" w:rsidR="00734DEF" w:rsidRPr="00EC7F67" w:rsidRDefault="00734DEF"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3A93A1A" w14:textId="0A957EBD" w:rsidR="006A52A7" w:rsidRDefault="00D73BFC" w:rsidP="006A52A7">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EC7F67">
        <w:rPr>
          <w:rFonts w:ascii="Arial" w:eastAsia="Times New Roman" w:hAnsi="Arial" w:cs="Arial"/>
          <w:b/>
          <w:bCs/>
          <w:color w:val="0F1115"/>
          <w:kern w:val="0"/>
          <w:sz w:val="20"/>
          <w:szCs w:val="20"/>
          <w:lang w:eastAsia="en-GB"/>
          <w14:ligatures w14:val="none"/>
        </w:rPr>
        <w:t>Table 3</w:t>
      </w:r>
      <w:r w:rsidR="006A52A7">
        <w:rPr>
          <w:rFonts w:ascii="Arial" w:eastAsia="Times New Roman" w:hAnsi="Arial" w:cs="Arial"/>
          <w:b/>
          <w:bCs/>
          <w:color w:val="0F1115"/>
          <w:kern w:val="0"/>
          <w:sz w:val="20"/>
          <w:szCs w:val="20"/>
          <w:lang w:eastAsia="en-GB"/>
          <w14:ligatures w14:val="none"/>
        </w:rPr>
        <w:t xml:space="preserve">: </w:t>
      </w:r>
      <w:r w:rsidR="006A52A7" w:rsidRPr="006A52A7">
        <w:rPr>
          <w:rFonts w:ascii="Arial" w:eastAsia="Times New Roman" w:hAnsi="Arial" w:cs="Arial"/>
          <w:b/>
          <w:bCs/>
          <w:color w:val="0F1115"/>
          <w:kern w:val="0"/>
          <w:sz w:val="20"/>
          <w:szCs w:val="20"/>
          <w:lang w:eastAsia="en-GB"/>
          <w14:ligatures w14:val="none"/>
        </w:rPr>
        <w:t>Comparative Analysis of Biomarker Concentrations Across Severity of Systolic Dysfunction</w:t>
      </w:r>
    </w:p>
    <w:tbl>
      <w:tblPr>
        <w:tblW w:w="8162" w:type="dxa"/>
        <w:jc w:val="center"/>
        <w:tblLook w:val="04A0" w:firstRow="1" w:lastRow="0" w:firstColumn="1" w:lastColumn="0" w:noHBand="0" w:noVBand="1"/>
      </w:tblPr>
      <w:tblGrid>
        <w:gridCol w:w="2039"/>
        <w:gridCol w:w="1648"/>
        <w:gridCol w:w="1867"/>
        <w:gridCol w:w="1648"/>
        <w:gridCol w:w="960"/>
      </w:tblGrid>
      <w:tr w:rsidR="00145C00" w:rsidRPr="00145C00" w14:paraId="3BA9F11C" w14:textId="77777777" w:rsidTr="00A01A22">
        <w:trPr>
          <w:trHeight w:val="53"/>
          <w:jc w:val="center"/>
        </w:trPr>
        <w:tc>
          <w:tcPr>
            <w:tcW w:w="2039" w:type="dxa"/>
            <w:tcBorders>
              <w:top w:val="single" w:sz="4" w:space="0" w:color="auto"/>
              <w:left w:val="nil"/>
              <w:bottom w:val="single" w:sz="4" w:space="0" w:color="auto"/>
              <w:right w:val="nil"/>
            </w:tcBorders>
            <w:noWrap/>
            <w:vAlign w:val="center"/>
            <w:hideMark/>
          </w:tcPr>
          <w:p w14:paraId="4455B79B" w14:textId="77777777" w:rsidR="00145C00" w:rsidRPr="00145C00" w:rsidRDefault="00145C00" w:rsidP="00145C00">
            <w:pPr>
              <w:spacing w:after="0" w:line="240" w:lineRule="auto"/>
              <w:jc w:val="center"/>
              <w:rPr>
                <w:rFonts w:ascii="Arial" w:eastAsia="Times New Roman" w:hAnsi="Arial" w:cs="Arial"/>
                <w:b/>
                <w:bCs/>
                <w:color w:val="000000"/>
                <w:kern w:val="0"/>
                <w:sz w:val="20"/>
                <w:szCs w:val="20"/>
                <w:lang w:eastAsia="en-GB"/>
                <w14:ligatures w14:val="none"/>
              </w:rPr>
            </w:pPr>
            <w:r w:rsidRPr="00145C00">
              <w:rPr>
                <w:rFonts w:ascii="Arial" w:eastAsia="Times New Roman" w:hAnsi="Arial" w:cs="Arial"/>
                <w:b/>
                <w:bCs/>
                <w:color w:val="000000"/>
                <w:kern w:val="0"/>
                <w:sz w:val="20"/>
                <w:szCs w:val="20"/>
                <w:lang w:eastAsia="en-GB"/>
                <w14:ligatures w14:val="none"/>
              </w:rPr>
              <w:t>Biomarker</w:t>
            </w:r>
          </w:p>
        </w:tc>
        <w:tc>
          <w:tcPr>
            <w:tcW w:w="1648" w:type="dxa"/>
            <w:tcBorders>
              <w:top w:val="single" w:sz="4" w:space="0" w:color="auto"/>
              <w:left w:val="nil"/>
              <w:bottom w:val="single" w:sz="4" w:space="0" w:color="auto"/>
              <w:right w:val="nil"/>
            </w:tcBorders>
            <w:noWrap/>
            <w:vAlign w:val="center"/>
            <w:hideMark/>
          </w:tcPr>
          <w:p w14:paraId="2771985E" w14:textId="77777777" w:rsidR="00145C00" w:rsidRPr="00145C00" w:rsidRDefault="00145C00" w:rsidP="00145C00">
            <w:pPr>
              <w:spacing w:after="0" w:line="240" w:lineRule="auto"/>
              <w:jc w:val="center"/>
              <w:rPr>
                <w:rFonts w:ascii="Arial" w:eastAsia="Times New Roman" w:hAnsi="Arial" w:cs="Arial"/>
                <w:b/>
                <w:bCs/>
                <w:color w:val="000000"/>
                <w:kern w:val="0"/>
                <w:sz w:val="20"/>
                <w:szCs w:val="20"/>
                <w:lang w:eastAsia="en-GB"/>
                <w14:ligatures w14:val="none"/>
              </w:rPr>
            </w:pPr>
            <w:r w:rsidRPr="00145C00">
              <w:rPr>
                <w:rFonts w:ascii="Arial" w:eastAsia="Times New Roman" w:hAnsi="Arial" w:cs="Arial"/>
                <w:b/>
                <w:bCs/>
                <w:color w:val="000000"/>
                <w:kern w:val="0"/>
                <w:sz w:val="20"/>
                <w:szCs w:val="20"/>
                <w:lang w:eastAsia="en-GB"/>
                <w14:ligatures w14:val="none"/>
              </w:rPr>
              <w:t>Mild (n=19)</w:t>
            </w:r>
          </w:p>
        </w:tc>
        <w:tc>
          <w:tcPr>
            <w:tcW w:w="1867" w:type="dxa"/>
            <w:tcBorders>
              <w:top w:val="single" w:sz="4" w:space="0" w:color="auto"/>
              <w:left w:val="nil"/>
              <w:bottom w:val="single" w:sz="4" w:space="0" w:color="auto"/>
              <w:right w:val="nil"/>
            </w:tcBorders>
            <w:noWrap/>
            <w:vAlign w:val="center"/>
            <w:hideMark/>
          </w:tcPr>
          <w:p w14:paraId="4BEF0692" w14:textId="77777777" w:rsidR="00145C00" w:rsidRPr="00145C00" w:rsidRDefault="00145C00" w:rsidP="00145C00">
            <w:pPr>
              <w:spacing w:after="0" w:line="240" w:lineRule="auto"/>
              <w:jc w:val="center"/>
              <w:rPr>
                <w:rFonts w:ascii="Arial" w:eastAsia="Times New Roman" w:hAnsi="Arial" w:cs="Arial"/>
                <w:b/>
                <w:bCs/>
                <w:color w:val="000000"/>
                <w:kern w:val="0"/>
                <w:sz w:val="20"/>
                <w:szCs w:val="20"/>
                <w:lang w:eastAsia="en-GB"/>
                <w14:ligatures w14:val="none"/>
              </w:rPr>
            </w:pPr>
            <w:r w:rsidRPr="00145C00">
              <w:rPr>
                <w:rFonts w:ascii="Arial" w:eastAsia="Times New Roman" w:hAnsi="Arial" w:cs="Arial"/>
                <w:b/>
                <w:bCs/>
                <w:color w:val="000000"/>
                <w:kern w:val="0"/>
                <w:sz w:val="20"/>
                <w:szCs w:val="20"/>
                <w:lang w:eastAsia="en-GB"/>
                <w14:ligatures w14:val="none"/>
              </w:rPr>
              <w:t>Moderate (n=21)</w:t>
            </w:r>
          </w:p>
        </w:tc>
        <w:tc>
          <w:tcPr>
            <w:tcW w:w="1648" w:type="dxa"/>
            <w:tcBorders>
              <w:top w:val="single" w:sz="4" w:space="0" w:color="auto"/>
              <w:left w:val="nil"/>
              <w:bottom w:val="single" w:sz="4" w:space="0" w:color="auto"/>
              <w:right w:val="nil"/>
            </w:tcBorders>
            <w:noWrap/>
            <w:vAlign w:val="center"/>
            <w:hideMark/>
          </w:tcPr>
          <w:p w14:paraId="2BDBE043" w14:textId="77777777" w:rsidR="00145C00" w:rsidRPr="00145C00" w:rsidRDefault="00145C00" w:rsidP="00145C00">
            <w:pPr>
              <w:spacing w:after="0" w:line="240" w:lineRule="auto"/>
              <w:jc w:val="center"/>
              <w:rPr>
                <w:rFonts w:ascii="Arial" w:eastAsia="Times New Roman" w:hAnsi="Arial" w:cs="Arial"/>
                <w:b/>
                <w:bCs/>
                <w:color w:val="000000"/>
                <w:kern w:val="0"/>
                <w:sz w:val="20"/>
                <w:szCs w:val="20"/>
                <w:lang w:eastAsia="en-GB"/>
                <w14:ligatures w14:val="none"/>
              </w:rPr>
            </w:pPr>
            <w:r w:rsidRPr="00145C00">
              <w:rPr>
                <w:rFonts w:ascii="Arial" w:eastAsia="Times New Roman" w:hAnsi="Arial" w:cs="Arial"/>
                <w:b/>
                <w:bCs/>
                <w:color w:val="000000"/>
                <w:kern w:val="0"/>
                <w:sz w:val="20"/>
                <w:szCs w:val="20"/>
                <w:lang w:eastAsia="en-GB"/>
                <w14:ligatures w14:val="none"/>
              </w:rPr>
              <w:t>Severe (n=20)</w:t>
            </w:r>
          </w:p>
        </w:tc>
        <w:tc>
          <w:tcPr>
            <w:tcW w:w="960" w:type="dxa"/>
            <w:tcBorders>
              <w:top w:val="single" w:sz="4" w:space="0" w:color="auto"/>
              <w:left w:val="nil"/>
              <w:bottom w:val="single" w:sz="4" w:space="0" w:color="auto"/>
              <w:right w:val="nil"/>
            </w:tcBorders>
            <w:noWrap/>
            <w:vAlign w:val="center"/>
            <w:hideMark/>
          </w:tcPr>
          <w:p w14:paraId="2D374049" w14:textId="77777777" w:rsidR="00145C00" w:rsidRPr="00145C00" w:rsidRDefault="00145C00" w:rsidP="00145C00">
            <w:pPr>
              <w:spacing w:after="0" w:line="240" w:lineRule="auto"/>
              <w:jc w:val="center"/>
              <w:rPr>
                <w:rFonts w:ascii="Arial" w:eastAsia="Times New Roman" w:hAnsi="Arial" w:cs="Arial"/>
                <w:b/>
                <w:bCs/>
                <w:color w:val="000000"/>
                <w:kern w:val="0"/>
                <w:sz w:val="20"/>
                <w:szCs w:val="20"/>
                <w:lang w:eastAsia="en-GB"/>
                <w14:ligatures w14:val="none"/>
              </w:rPr>
            </w:pPr>
            <w:r w:rsidRPr="00145C00">
              <w:rPr>
                <w:rFonts w:ascii="Arial" w:eastAsia="Times New Roman" w:hAnsi="Arial" w:cs="Arial"/>
                <w:b/>
                <w:bCs/>
                <w:color w:val="000000"/>
                <w:kern w:val="0"/>
                <w:sz w:val="20"/>
                <w:szCs w:val="20"/>
                <w:lang w:eastAsia="en-GB"/>
                <w14:ligatures w14:val="none"/>
              </w:rPr>
              <w:t>P-value</w:t>
            </w:r>
          </w:p>
        </w:tc>
      </w:tr>
      <w:tr w:rsidR="00145C00" w:rsidRPr="00145C00" w14:paraId="728AE575" w14:textId="77777777" w:rsidTr="00A01A22">
        <w:trPr>
          <w:trHeight w:val="53"/>
          <w:jc w:val="center"/>
        </w:trPr>
        <w:tc>
          <w:tcPr>
            <w:tcW w:w="2039" w:type="dxa"/>
            <w:tcBorders>
              <w:top w:val="nil"/>
              <w:left w:val="nil"/>
              <w:bottom w:val="nil"/>
              <w:right w:val="nil"/>
            </w:tcBorders>
            <w:noWrap/>
            <w:vAlign w:val="center"/>
            <w:hideMark/>
          </w:tcPr>
          <w:p w14:paraId="019388AE" w14:textId="77777777" w:rsidR="00145C00" w:rsidRPr="00145C00" w:rsidRDefault="00145C00" w:rsidP="00145C00">
            <w:pPr>
              <w:spacing w:after="0" w:line="240" w:lineRule="auto"/>
              <w:rPr>
                <w:rFonts w:ascii="Arial" w:eastAsia="Times New Roman" w:hAnsi="Arial" w:cs="Arial"/>
                <w:color w:val="000000"/>
                <w:kern w:val="0"/>
                <w:sz w:val="20"/>
                <w:szCs w:val="20"/>
                <w:lang w:eastAsia="en-GB"/>
                <w14:ligatures w14:val="none"/>
              </w:rPr>
            </w:pPr>
            <w:r w:rsidRPr="00145C00">
              <w:rPr>
                <w:rFonts w:ascii="Arial" w:eastAsia="Times New Roman" w:hAnsi="Arial" w:cs="Arial"/>
                <w:color w:val="000000"/>
                <w:kern w:val="0"/>
                <w:sz w:val="20"/>
                <w:szCs w:val="20"/>
                <w:lang w:eastAsia="en-GB"/>
                <w14:ligatures w14:val="none"/>
              </w:rPr>
              <w:t>NT-proBNP (ng/ml)</w:t>
            </w:r>
          </w:p>
        </w:tc>
        <w:tc>
          <w:tcPr>
            <w:tcW w:w="1648" w:type="dxa"/>
            <w:tcBorders>
              <w:top w:val="nil"/>
              <w:left w:val="nil"/>
              <w:bottom w:val="nil"/>
              <w:right w:val="nil"/>
            </w:tcBorders>
            <w:noWrap/>
            <w:vAlign w:val="center"/>
            <w:hideMark/>
          </w:tcPr>
          <w:p w14:paraId="13EF35F5" w14:textId="77777777" w:rsidR="00145C00" w:rsidRPr="00145C00" w:rsidRDefault="00145C00" w:rsidP="00564240">
            <w:pPr>
              <w:spacing w:after="0" w:line="240" w:lineRule="auto"/>
              <w:jc w:val="center"/>
              <w:rPr>
                <w:rFonts w:ascii="Arial" w:eastAsia="Times New Roman" w:hAnsi="Arial" w:cs="Arial"/>
                <w:color w:val="000000"/>
                <w:kern w:val="0"/>
                <w:sz w:val="20"/>
                <w:szCs w:val="20"/>
                <w:lang w:eastAsia="en-GB"/>
                <w14:ligatures w14:val="none"/>
              </w:rPr>
            </w:pPr>
            <w:r w:rsidRPr="00145C00">
              <w:rPr>
                <w:rFonts w:ascii="Arial" w:eastAsia="Times New Roman" w:hAnsi="Arial" w:cs="Arial"/>
                <w:color w:val="000000"/>
                <w:kern w:val="0"/>
                <w:sz w:val="20"/>
                <w:szCs w:val="20"/>
                <w:lang w:eastAsia="en-GB"/>
                <w14:ligatures w14:val="none"/>
              </w:rPr>
              <w:t>0.56 ± 0.09^A^</w:t>
            </w:r>
          </w:p>
        </w:tc>
        <w:tc>
          <w:tcPr>
            <w:tcW w:w="1867" w:type="dxa"/>
            <w:tcBorders>
              <w:top w:val="nil"/>
              <w:left w:val="nil"/>
              <w:bottom w:val="nil"/>
              <w:right w:val="nil"/>
            </w:tcBorders>
            <w:noWrap/>
            <w:vAlign w:val="center"/>
            <w:hideMark/>
          </w:tcPr>
          <w:p w14:paraId="5AF5BB11" w14:textId="77777777" w:rsidR="00145C00" w:rsidRPr="00145C00" w:rsidRDefault="00145C00" w:rsidP="00564240">
            <w:pPr>
              <w:spacing w:after="0" w:line="240" w:lineRule="auto"/>
              <w:jc w:val="center"/>
              <w:rPr>
                <w:rFonts w:ascii="Arial" w:eastAsia="Times New Roman" w:hAnsi="Arial" w:cs="Arial"/>
                <w:color w:val="000000"/>
                <w:kern w:val="0"/>
                <w:sz w:val="20"/>
                <w:szCs w:val="20"/>
                <w:lang w:eastAsia="en-GB"/>
                <w14:ligatures w14:val="none"/>
              </w:rPr>
            </w:pPr>
            <w:r w:rsidRPr="00145C00">
              <w:rPr>
                <w:rFonts w:ascii="Arial" w:eastAsia="Times New Roman" w:hAnsi="Arial" w:cs="Arial"/>
                <w:color w:val="000000"/>
                <w:kern w:val="0"/>
                <w:sz w:val="20"/>
                <w:szCs w:val="20"/>
                <w:lang w:eastAsia="en-GB"/>
                <w14:ligatures w14:val="none"/>
              </w:rPr>
              <w:t>0.65 ± 0.29^A,B^</w:t>
            </w:r>
          </w:p>
        </w:tc>
        <w:tc>
          <w:tcPr>
            <w:tcW w:w="1648" w:type="dxa"/>
            <w:tcBorders>
              <w:top w:val="nil"/>
              <w:left w:val="nil"/>
              <w:bottom w:val="nil"/>
              <w:right w:val="nil"/>
            </w:tcBorders>
            <w:noWrap/>
            <w:vAlign w:val="center"/>
            <w:hideMark/>
          </w:tcPr>
          <w:p w14:paraId="20164FF6" w14:textId="77777777" w:rsidR="00145C00" w:rsidRPr="00145C00" w:rsidRDefault="00145C00" w:rsidP="00564240">
            <w:pPr>
              <w:spacing w:after="0" w:line="240" w:lineRule="auto"/>
              <w:jc w:val="center"/>
              <w:rPr>
                <w:rFonts w:ascii="Arial" w:eastAsia="Times New Roman" w:hAnsi="Arial" w:cs="Arial"/>
                <w:color w:val="000000"/>
                <w:kern w:val="0"/>
                <w:sz w:val="20"/>
                <w:szCs w:val="20"/>
                <w:lang w:eastAsia="en-GB"/>
                <w14:ligatures w14:val="none"/>
              </w:rPr>
            </w:pPr>
            <w:r w:rsidRPr="00145C00">
              <w:rPr>
                <w:rFonts w:ascii="Arial" w:eastAsia="Times New Roman" w:hAnsi="Arial" w:cs="Arial"/>
                <w:color w:val="000000"/>
                <w:kern w:val="0"/>
                <w:sz w:val="20"/>
                <w:szCs w:val="20"/>
                <w:lang w:eastAsia="en-GB"/>
                <w14:ligatures w14:val="none"/>
              </w:rPr>
              <w:t>0.82 ± 0.38^B^</w:t>
            </w:r>
          </w:p>
        </w:tc>
        <w:tc>
          <w:tcPr>
            <w:tcW w:w="960" w:type="dxa"/>
            <w:tcBorders>
              <w:top w:val="nil"/>
              <w:left w:val="nil"/>
              <w:bottom w:val="nil"/>
              <w:right w:val="nil"/>
            </w:tcBorders>
            <w:noWrap/>
            <w:vAlign w:val="center"/>
            <w:hideMark/>
          </w:tcPr>
          <w:p w14:paraId="130644D2" w14:textId="77777777" w:rsidR="00145C00" w:rsidRPr="00145C00" w:rsidRDefault="00145C00" w:rsidP="00564240">
            <w:pPr>
              <w:spacing w:after="0" w:line="240" w:lineRule="auto"/>
              <w:jc w:val="center"/>
              <w:rPr>
                <w:rFonts w:ascii="Arial" w:eastAsia="Times New Roman" w:hAnsi="Arial" w:cs="Arial"/>
                <w:color w:val="000000"/>
                <w:kern w:val="0"/>
                <w:sz w:val="20"/>
                <w:szCs w:val="20"/>
                <w:lang w:eastAsia="en-GB"/>
                <w14:ligatures w14:val="none"/>
              </w:rPr>
            </w:pPr>
            <w:r w:rsidRPr="00145C00">
              <w:rPr>
                <w:rFonts w:ascii="Arial" w:eastAsia="Times New Roman" w:hAnsi="Arial" w:cs="Arial"/>
                <w:color w:val="000000"/>
                <w:kern w:val="0"/>
                <w:sz w:val="20"/>
                <w:szCs w:val="20"/>
                <w:lang w:eastAsia="en-GB"/>
                <w14:ligatures w14:val="none"/>
              </w:rPr>
              <w:t>&lt;0.001</w:t>
            </w:r>
          </w:p>
        </w:tc>
      </w:tr>
      <w:tr w:rsidR="00145C00" w:rsidRPr="00145C00" w14:paraId="3970DCDD" w14:textId="77777777" w:rsidTr="00A01A22">
        <w:trPr>
          <w:trHeight w:val="63"/>
          <w:jc w:val="center"/>
        </w:trPr>
        <w:tc>
          <w:tcPr>
            <w:tcW w:w="2039" w:type="dxa"/>
            <w:tcBorders>
              <w:top w:val="nil"/>
              <w:left w:val="nil"/>
              <w:bottom w:val="single" w:sz="4" w:space="0" w:color="auto"/>
              <w:right w:val="nil"/>
            </w:tcBorders>
            <w:noWrap/>
            <w:vAlign w:val="center"/>
            <w:hideMark/>
          </w:tcPr>
          <w:p w14:paraId="5591AA0C" w14:textId="77777777" w:rsidR="00145C00" w:rsidRPr="00145C00" w:rsidRDefault="00145C00" w:rsidP="00145C00">
            <w:pPr>
              <w:spacing w:after="0" w:line="240" w:lineRule="auto"/>
              <w:rPr>
                <w:rFonts w:ascii="Arial" w:eastAsia="Times New Roman" w:hAnsi="Arial" w:cs="Arial"/>
                <w:color w:val="000000"/>
                <w:kern w:val="0"/>
                <w:sz w:val="20"/>
                <w:szCs w:val="20"/>
                <w:lang w:eastAsia="en-GB"/>
                <w14:ligatures w14:val="none"/>
              </w:rPr>
            </w:pPr>
            <w:r w:rsidRPr="00145C00">
              <w:rPr>
                <w:rFonts w:ascii="Arial" w:eastAsia="Times New Roman" w:hAnsi="Arial" w:cs="Arial"/>
                <w:color w:val="000000"/>
                <w:kern w:val="0"/>
                <w:sz w:val="20"/>
                <w:szCs w:val="20"/>
                <w:lang w:eastAsia="en-GB"/>
                <w14:ligatures w14:val="none"/>
              </w:rPr>
              <w:t>Copeptin (ng/L)</w:t>
            </w:r>
          </w:p>
        </w:tc>
        <w:tc>
          <w:tcPr>
            <w:tcW w:w="1648" w:type="dxa"/>
            <w:tcBorders>
              <w:top w:val="nil"/>
              <w:left w:val="nil"/>
              <w:bottom w:val="single" w:sz="4" w:space="0" w:color="auto"/>
              <w:right w:val="nil"/>
            </w:tcBorders>
            <w:noWrap/>
            <w:vAlign w:val="center"/>
            <w:hideMark/>
          </w:tcPr>
          <w:p w14:paraId="5035619B" w14:textId="77777777" w:rsidR="00145C00" w:rsidRPr="00145C00" w:rsidRDefault="00145C00" w:rsidP="00564240">
            <w:pPr>
              <w:spacing w:after="0" w:line="240" w:lineRule="auto"/>
              <w:jc w:val="center"/>
              <w:rPr>
                <w:rFonts w:ascii="Arial" w:eastAsia="Times New Roman" w:hAnsi="Arial" w:cs="Arial"/>
                <w:color w:val="000000"/>
                <w:kern w:val="0"/>
                <w:sz w:val="20"/>
                <w:szCs w:val="20"/>
                <w:lang w:eastAsia="en-GB"/>
                <w14:ligatures w14:val="none"/>
              </w:rPr>
            </w:pPr>
            <w:r w:rsidRPr="00145C00">
              <w:rPr>
                <w:rFonts w:ascii="Arial" w:eastAsia="Times New Roman" w:hAnsi="Arial" w:cs="Arial"/>
                <w:color w:val="000000"/>
                <w:kern w:val="0"/>
                <w:sz w:val="20"/>
                <w:szCs w:val="20"/>
                <w:lang w:eastAsia="en-GB"/>
                <w14:ligatures w14:val="none"/>
              </w:rPr>
              <w:t>2.61 ± 1.07^A^</w:t>
            </w:r>
          </w:p>
        </w:tc>
        <w:tc>
          <w:tcPr>
            <w:tcW w:w="1867" w:type="dxa"/>
            <w:tcBorders>
              <w:top w:val="nil"/>
              <w:left w:val="nil"/>
              <w:bottom w:val="single" w:sz="4" w:space="0" w:color="auto"/>
              <w:right w:val="nil"/>
            </w:tcBorders>
            <w:noWrap/>
            <w:vAlign w:val="center"/>
            <w:hideMark/>
          </w:tcPr>
          <w:p w14:paraId="2AEE4995" w14:textId="77777777" w:rsidR="00145C00" w:rsidRPr="00145C00" w:rsidRDefault="00145C00" w:rsidP="00564240">
            <w:pPr>
              <w:spacing w:after="0" w:line="240" w:lineRule="auto"/>
              <w:jc w:val="center"/>
              <w:rPr>
                <w:rFonts w:ascii="Arial" w:eastAsia="Times New Roman" w:hAnsi="Arial" w:cs="Arial"/>
                <w:color w:val="000000"/>
                <w:kern w:val="0"/>
                <w:sz w:val="20"/>
                <w:szCs w:val="20"/>
                <w:lang w:eastAsia="en-GB"/>
                <w14:ligatures w14:val="none"/>
              </w:rPr>
            </w:pPr>
            <w:r w:rsidRPr="00145C00">
              <w:rPr>
                <w:rFonts w:ascii="Arial" w:eastAsia="Times New Roman" w:hAnsi="Arial" w:cs="Arial"/>
                <w:color w:val="000000"/>
                <w:kern w:val="0"/>
                <w:sz w:val="20"/>
                <w:szCs w:val="20"/>
                <w:lang w:eastAsia="en-GB"/>
                <w14:ligatures w14:val="none"/>
              </w:rPr>
              <w:t>2.99 ± 1.06^A,B^</w:t>
            </w:r>
          </w:p>
        </w:tc>
        <w:tc>
          <w:tcPr>
            <w:tcW w:w="1648" w:type="dxa"/>
            <w:tcBorders>
              <w:top w:val="nil"/>
              <w:left w:val="nil"/>
              <w:bottom w:val="single" w:sz="4" w:space="0" w:color="auto"/>
              <w:right w:val="nil"/>
            </w:tcBorders>
            <w:noWrap/>
            <w:vAlign w:val="center"/>
            <w:hideMark/>
          </w:tcPr>
          <w:p w14:paraId="12899D8B" w14:textId="77777777" w:rsidR="00145C00" w:rsidRPr="00145C00" w:rsidRDefault="00145C00" w:rsidP="00564240">
            <w:pPr>
              <w:spacing w:after="0" w:line="240" w:lineRule="auto"/>
              <w:jc w:val="center"/>
              <w:rPr>
                <w:rFonts w:ascii="Arial" w:eastAsia="Times New Roman" w:hAnsi="Arial" w:cs="Arial"/>
                <w:color w:val="000000"/>
                <w:kern w:val="0"/>
                <w:sz w:val="20"/>
                <w:szCs w:val="20"/>
                <w:lang w:eastAsia="en-GB"/>
                <w14:ligatures w14:val="none"/>
              </w:rPr>
            </w:pPr>
            <w:r w:rsidRPr="00145C00">
              <w:rPr>
                <w:rFonts w:ascii="Arial" w:eastAsia="Times New Roman" w:hAnsi="Arial" w:cs="Arial"/>
                <w:color w:val="000000"/>
                <w:kern w:val="0"/>
                <w:sz w:val="20"/>
                <w:szCs w:val="20"/>
                <w:lang w:eastAsia="en-GB"/>
                <w14:ligatures w14:val="none"/>
              </w:rPr>
              <w:t>4.32 ± 2.20^B^</w:t>
            </w:r>
          </w:p>
        </w:tc>
        <w:tc>
          <w:tcPr>
            <w:tcW w:w="960" w:type="dxa"/>
            <w:tcBorders>
              <w:top w:val="nil"/>
              <w:left w:val="nil"/>
              <w:bottom w:val="single" w:sz="4" w:space="0" w:color="auto"/>
              <w:right w:val="nil"/>
            </w:tcBorders>
            <w:noWrap/>
            <w:vAlign w:val="center"/>
            <w:hideMark/>
          </w:tcPr>
          <w:p w14:paraId="446D8AC1" w14:textId="77777777" w:rsidR="00145C00" w:rsidRPr="00145C00" w:rsidRDefault="00145C00" w:rsidP="00564240">
            <w:pPr>
              <w:spacing w:after="0" w:line="240" w:lineRule="auto"/>
              <w:jc w:val="center"/>
              <w:rPr>
                <w:rFonts w:ascii="Arial" w:eastAsia="Times New Roman" w:hAnsi="Arial" w:cs="Arial"/>
                <w:color w:val="000000"/>
                <w:kern w:val="0"/>
                <w:sz w:val="20"/>
                <w:szCs w:val="20"/>
                <w:lang w:eastAsia="en-GB"/>
                <w14:ligatures w14:val="none"/>
              </w:rPr>
            </w:pPr>
            <w:r w:rsidRPr="00145C00">
              <w:rPr>
                <w:rFonts w:ascii="Arial" w:eastAsia="Times New Roman" w:hAnsi="Arial" w:cs="Arial"/>
                <w:color w:val="000000"/>
                <w:kern w:val="0"/>
                <w:sz w:val="20"/>
                <w:szCs w:val="20"/>
                <w:lang w:eastAsia="en-GB"/>
                <w14:ligatures w14:val="none"/>
              </w:rPr>
              <w:t>&lt;0.005</w:t>
            </w:r>
          </w:p>
        </w:tc>
      </w:tr>
    </w:tbl>
    <w:p w14:paraId="54F7EF81" w14:textId="610B878F" w:rsidR="006A52A7" w:rsidRPr="00EB4694" w:rsidRDefault="00EC2110" w:rsidP="00EC2110">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EB4694">
        <w:rPr>
          <w:rFonts w:ascii="Arial" w:eastAsia="Times New Roman" w:hAnsi="Arial" w:cs="Arial"/>
          <w:color w:val="0F1115"/>
          <w:kern w:val="0"/>
          <w:sz w:val="20"/>
          <w:szCs w:val="20"/>
          <w:lang w:eastAsia="en-GB"/>
          <w14:ligatures w14:val="none"/>
        </w:rPr>
        <w:t>*One-way ANOVA with Tukey’s post-hoc test. Different superscript letters (A, B) indicate statistically significant differences between groups (p&lt;0.05). Same letters indicate no significant difference.*</w:t>
      </w:r>
    </w:p>
    <w:p w14:paraId="20B2B2D4" w14:textId="421E23BD" w:rsidR="00162559" w:rsidRDefault="00162559" w:rsidP="00653B9B">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B7B2EB5" w14:textId="55E8DC44" w:rsidR="00653B9B" w:rsidRDefault="00653B9B" w:rsidP="00C93120">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drawing>
          <wp:inline distT="0" distB="0" distL="0" distR="0" wp14:anchorId="76FCEE1D" wp14:editId="4EFCA5BC">
            <wp:extent cx="2208810" cy="1648534"/>
            <wp:effectExtent l="0" t="0" r="1270" b="8890"/>
            <wp:docPr id="16404338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24341" cy="1660125"/>
                    </a:xfrm>
                    <a:prstGeom prst="rect">
                      <a:avLst/>
                    </a:prstGeom>
                    <a:noFill/>
                  </pic:spPr>
                </pic:pic>
              </a:graphicData>
            </a:graphic>
          </wp:inline>
        </w:drawing>
      </w:r>
    </w:p>
    <w:p w14:paraId="5BA180F4" w14:textId="36BA40B3" w:rsidR="00D73BFC" w:rsidRDefault="00D73BFC" w:rsidP="00162559">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EC7F67">
        <w:rPr>
          <w:rFonts w:ascii="Arial" w:eastAsia="Times New Roman" w:hAnsi="Arial" w:cs="Arial"/>
          <w:b/>
          <w:bCs/>
          <w:color w:val="0F1115"/>
          <w:kern w:val="0"/>
          <w:sz w:val="20"/>
          <w:szCs w:val="20"/>
          <w:lang w:eastAsia="en-GB"/>
          <w14:ligatures w14:val="none"/>
        </w:rPr>
        <w:t>Figure 2</w:t>
      </w:r>
      <w:r w:rsidR="00162559">
        <w:rPr>
          <w:rFonts w:ascii="Arial" w:eastAsia="Times New Roman" w:hAnsi="Arial" w:cs="Arial"/>
          <w:b/>
          <w:bCs/>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w:t>
      </w:r>
      <w:r w:rsidR="00195ED6" w:rsidRPr="00195ED6">
        <w:rPr>
          <w:rFonts w:ascii="Arial" w:eastAsia="Times New Roman" w:hAnsi="Arial" w:cs="Arial"/>
          <w:b/>
          <w:bCs/>
          <w:color w:val="0F1115"/>
          <w:kern w:val="0"/>
          <w:sz w:val="20"/>
          <w:szCs w:val="20"/>
          <w:lang w:eastAsia="en-GB"/>
          <w14:ligatures w14:val="none"/>
        </w:rPr>
        <w:t>Bar Chart of Biomarker Levels by Systolic Dysfunction Severity</w:t>
      </w:r>
      <w:r w:rsidRPr="00EC7F67">
        <w:rPr>
          <w:rFonts w:ascii="Arial" w:eastAsia="Times New Roman" w:hAnsi="Arial" w:cs="Arial"/>
          <w:color w:val="0F1115"/>
          <w:kern w:val="0"/>
          <w:sz w:val="20"/>
          <w:szCs w:val="20"/>
          <w:lang w:eastAsia="en-GB"/>
          <w14:ligatures w14:val="none"/>
        </w:rPr>
        <w:t>.</w:t>
      </w:r>
    </w:p>
    <w:p w14:paraId="2DB62959" w14:textId="77777777" w:rsidR="00734DEF" w:rsidRPr="00EC7F67" w:rsidRDefault="00734DEF"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D676585" w14:textId="77777777" w:rsidR="001659D7" w:rsidRDefault="001659D7"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1659D7" w:rsidSect="001659D7">
          <w:type w:val="continuous"/>
          <w:pgSz w:w="11906" w:h="16838"/>
          <w:pgMar w:top="1440" w:right="1440" w:bottom="1440" w:left="1440" w:header="720" w:footer="720" w:gutter="0"/>
          <w:cols w:space="720"/>
          <w:titlePg/>
          <w:docGrid w:linePitch="360"/>
        </w:sectPr>
      </w:pPr>
    </w:p>
    <w:p w14:paraId="5DDD096C" w14:textId="77777777" w:rsidR="00D73BFC" w:rsidRPr="009C7E0E"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9C7E0E">
        <w:rPr>
          <w:rFonts w:ascii="Arial" w:eastAsia="Times New Roman" w:hAnsi="Arial" w:cs="Arial"/>
          <w:i/>
          <w:iCs/>
          <w:color w:val="0F1115"/>
          <w:kern w:val="0"/>
          <w:sz w:val="20"/>
          <w:szCs w:val="20"/>
          <w:lang w:eastAsia="en-GB"/>
          <w14:ligatures w14:val="none"/>
        </w:rPr>
        <w:t>Independent predictors of heart failure diagnosis</w:t>
      </w:r>
    </w:p>
    <w:p w14:paraId="03BF6CF3" w14:textId="77777777"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Binary logistic regression analysis was performed to determine whether NT</w:t>
      </w:r>
      <w:r w:rsidRPr="00EC7F67">
        <w:rPr>
          <w:rFonts w:ascii="Arial" w:eastAsia="Times New Roman" w:hAnsi="Arial" w:cs="Arial"/>
          <w:color w:val="0F1115"/>
          <w:kern w:val="0"/>
          <w:sz w:val="20"/>
          <w:szCs w:val="20"/>
          <w:lang w:eastAsia="en-GB"/>
          <w14:ligatures w14:val="none"/>
        </w:rPr>
        <w:noBreakHyphen/>
        <w:t>proBNP and copeptin independently predicted HF diagnosis after accounting for each other (Table 4). Both biomarkers emerged as significant independent predictors. NT</w:t>
      </w:r>
      <w:r w:rsidRPr="00EC7F67">
        <w:rPr>
          <w:rFonts w:ascii="Arial" w:eastAsia="Times New Roman" w:hAnsi="Arial" w:cs="Arial"/>
          <w:color w:val="0F1115"/>
          <w:kern w:val="0"/>
          <w:sz w:val="20"/>
          <w:szCs w:val="20"/>
          <w:lang w:eastAsia="en-GB"/>
          <w14:ligatures w14:val="none"/>
        </w:rPr>
        <w:noBreakHyphen/>
        <w:t xml:space="preserve">proBNP showed a strong predictive capacity (odds ratio [OR] 3.23, 95% CI: 1.38–4.55, p=0.007), indicating that each unit </w:t>
      </w:r>
      <w:r w:rsidRPr="00EC7F67">
        <w:rPr>
          <w:rFonts w:ascii="Arial" w:eastAsia="Times New Roman" w:hAnsi="Arial" w:cs="Arial"/>
          <w:color w:val="0F1115"/>
          <w:kern w:val="0"/>
          <w:sz w:val="20"/>
          <w:szCs w:val="20"/>
          <w:lang w:eastAsia="en-GB"/>
          <w14:ligatures w14:val="none"/>
        </w:rPr>
        <w:t>increase in NT</w:t>
      </w:r>
      <w:r w:rsidRPr="00EC7F67">
        <w:rPr>
          <w:rFonts w:ascii="Arial" w:eastAsia="Times New Roman" w:hAnsi="Arial" w:cs="Arial"/>
          <w:color w:val="0F1115"/>
          <w:kern w:val="0"/>
          <w:sz w:val="20"/>
          <w:szCs w:val="20"/>
          <w:lang w:eastAsia="en-GB"/>
          <w14:ligatures w14:val="none"/>
        </w:rPr>
        <w:noBreakHyphen/>
        <w:t>proBNP was associated with more than a three</w:t>
      </w:r>
      <w:r w:rsidRPr="00EC7F67">
        <w:rPr>
          <w:rFonts w:ascii="Arial" w:eastAsia="Times New Roman" w:hAnsi="Arial" w:cs="Arial"/>
          <w:color w:val="0F1115"/>
          <w:kern w:val="0"/>
          <w:sz w:val="20"/>
          <w:szCs w:val="20"/>
          <w:lang w:eastAsia="en-GB"/>
          <w14:ligatures w14:val="none"/>
        </w:rPr>
        <w:noBreakHyphen/>
        <w:t>fold increase in the likelihood of HF. Similarly, copeptin was a significant independent predictor (OR 2.33, 95% CI: 1.78–3.43, p=0.001). These findings suggest that the two biomarkers provide non</w:t>
      </w:r>
      <w:r w:rsidRPr="00EC7F67">
        <w:rPr>
          <w:rFonts w:ascii="Arial" w:eastAsia="Times New Roman" w:hAnsi="Arial" w:cs="Arial"/>
          <w:color w:val="0F1115"/>
          <w:kern w:val="0"/>
          <w:sz w:val="20"/>
          <w:szCs w:val="20"/>
          <w:lang w:eastAsia="en-GB"/>
          <w14:ligatures w14:val="none"/>
        </w:rPr>
        <w:noBreakHyphen/>
        <w:t>overlapping information and may complement each other in diagnostic algorithms.</w:t>
      </w:r>
    </w:p>
    <w:p w14:paraId="62AE7D46" w14:textId="77777777" w:rsidR="001659D7" w:rsidRDefault="001659D7"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1659D7" w:rsidSect="001659D7">
          <w:type w:val="continuous"/>
          <w:pgSz w:w="11906" w:h="16838"/>
          <w:pgMar w:top="1440" w:right="1440" w:bottom="1440" w:left="1440" w:header="720" w:footer="720" w:gutter="0"/>
          <w:cols w:num="2" w:space="432"/>
          <w:titlePg/>
          <w:docGrid w:linePitch="360"/>
        </w:sectPr>
      </w:pPr>
    </w:p>
    <w:p w14:paraId="670578EA" w14:textId="77777777" w:rsidR="009C7E0E" w:rsidRPr="00EC7F67" w:rsidRDefault="009C7E0E"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1C34B4A" w14:textId="7EE0D4E3" w:rsidR="00D73BFC" w:rsidRPr="00412807" w:rsidRDefault="00D73BFC" w:rsidP="00C93120">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412807">
        <w:rPr>
          <w:rFonts w:ascii="Arial" w:eastAsia="Times New Roman" w:hAnsi="Arial" w:cs="Arial"/>
          <w:b/>
          <w:bCs/>
          <w:color w:val="0F1115"/>
          <w:kern w:val="0"/>
          <w:sz w:val="20"/>
          <w:szCs w:val="20"/>
          <w:lang w:eastAsia="en-GB"/>
          <w14:ligatures w14:val="none"/>
        </w:rPr>
        <w:t>Table 4</w:t>
      </w:r>
      <w:r w:rsidR="00C93120" w:rsidRPr="00412807">
        <w:rPr>
          <w:rFonts w:ascii="Arial" w:eastAsia="Times New Roman" w:hAnsi="Arial" w:cs="Arial"/>
          <w:b/>
          <w:bCs/>
          <w:color w:val="0F1115"/>
          <w:kern w:val="0"/>
          <w:sz w:val="20"/>
          <w:szCs w:val="20"/>
          <w:lang w:eastAsia="en-GB"/>
          <w14:ligatures w14:val="none"/>
        </w:rPr>
        <w:t xml:space="preserve">: </w:t>
      </w:r>
      <w:r w:rsidR="00412807" w:rsidRPr="00412807">
        <w:rPr>
          <w:rFonts w:ascii="Arial" w:eastAsia="Times New Roman" w:hAnsi="Arial" w:cs="Arial"/>
          <w:b/>
          <w:bCs/>
          <w:color w:val="0F1115"/>
          <w:kern w:val="0"/>
          <w:sz w:val="20"/>
          <w:szCs w:val="20"/>
          <w:lang w:eastAsia="en-GB"/>
          <w14:ligatures w14:val="none"/>
        </w:rPr>
        <w:t>Binary Logistic Regression Analysis for Predicting Heart Failure</w:t>
      </w:r>
    </w:p>
    <w:tbl>
      <w:tblPr>
        <w:tblW w:w="7785" w:type="dxa"/>
        <w:jc w:val="center"/>
        <w:tblLook w:val="04A0" w:firstRow="1" w:lastRow="0" w:firstColumn="1" w:lastColumn="0" w:noHBand="0" w:noVBand="1"/>
      </w:tblPr>
      <w:tblGrid>
        <w:gridCol w:w="1361"/>
        <w:gridCol w:w="960"/>
        <w:gridCol w:w="960"/>
        <w:gridCol w:w="1883"/>
        <w:gridCol w:w="1661"/>
        <w:gridCol w:w="960"/>
      </w:tblGrid>
      <w:tr w:rsidR="00564240" w:rsidRPr="00564240" w14:paraId="4BB97A5C" w14:textId="77777777" w:rsidTr="00A01A22">
        <w:trPr>
          <w:trHeight w:val="53"/>
          <w:jc w:val="center"/>
        </w:trPr>
        <w:tc>
          <w:tcPr>
            <w:tcW w:w="1361" w:type="dxa"/>
            <w:tcBorders>
              <w:top w:val="single" w:sz="4" w:space="0" w:color="auto"/>
              <w:left w:val="nil"/>
              <w:bottom w:val="single" w:sz="4" w:space="0" w:color="auto"/>
              <w:right w:val="nil"/>
            </w:tcBorders>
            <w:noWrap/>
            <w:vAlign w:val="center"/>
            <w:hideMark/>
          </w:tcPr>
          <w:p w14:paraId="76E7CB26" w14:textId="77777777" w:rsidR="00564240" w:rsidRPr="00564240" w:rsidRDefault="00564240" w:rsidP="00564240">
            <w:pPr>
              <w:spacing w:after="0" w:line="240" w:lineRule="auto"/>
              <w:jc w:val="center"/>
              <w:rPr>
                <w:rFonts w:ascii="Arial" w:eastAsia="Times New Roman" w:hAnsi="Arial" w:cs="Arial"/>
                <w:b/>
                <w:bCs/>
                <w:color w:val="000000"/>
                <w:kern w:val="0"/>
                <w:sz w:val="20"/>
                <w:szCs w:val="20"/>
                <w:lang w:eastAsia="en-GB"/>
                <w14:ligatures w14:val="none"/>
              </w:rPr>
            </w:pPr>
            <w:r w:rsidRPr="00564240">
              <w:rPr>
                <w:rFonts w:ascii="Arial" w:eastAsia="Times New Roman" w:hAnsi="Arial" w:cs="Arial"/>
                <w:b/>
                <w:bCs/>
                <w:color w:val="000000"/>
                <w:kern w:val="0"/>
                <w:sz w:val="20"/>
                <w:szCs w:val="20"/>
                <w:lang w:eastAsia="en-GB"/>
                <w14:ligatures w14:val="none"/>
              </w:rPr>
              <w:t>Variable</w:t>
            </w:r>
          </w:p>
        </w:tc>
        <w:tc>
          <w:tcPr>
            <w:tcW w:w="960" w:type="dxa"/>
            <w:tcBorders>
              <w:top w:val="single" w:sz="4" w:space="0" w:color="auto"/>
              <w:left w:val="nil"/>
              <w:bottom w:val="single" w:sz="4" w:space="0" w:color="auto"/>
              <w:right w:val="nil"/>
            </w:tcBorders>
            <w:noWrap/>
            <w:vAlign w:val="center"/>
            <w:hideMark/>
          </w:tcPr>
          <w:p w14:paraId="356974E7" w14:textId="77777777" w:rsidR="00564240" w:rsidRPr="00564240" w:rsidRDefault="00564240" w:rsidP="00564240">
            <w:pPr>
              <w:spacing w:after="0" w:line="240" w:lineRule="auto"/>
              <w:jc w:val="center"/>
              <w:rPr>
                <w:rFonts w:ascii="Arial" w:eastAsia="Times New Roman" w:hAnsi="Arial" w:cs="Arial"/>
                <w:b/>
                <w:bCs/>
                <w:color w:val="000000"/>
                <w:kern w:val="0"/>
                <w:sz w:val="20"/>
                <w:szCs w:val="20"/>
                <w:lang w:eastAsia="en-GB"/>
                <w14:ligatures w14:val="none"/>
              </w:rPr>
            </w:pPr>
            <w:r w:rsidRPr="00564240">
              <w:rPr>
                <w:rFonts w:ascii="Arial" w:eastAsia="Times New Roman" w:hAnsi="Arial" w:cs="Arial"/>
                <w:b/>
                <w:bCs/>
                <w:color w:val="000000"/>
                <w:kern w:val="0"/>
                <w:sz w:val="20"/>
                <w:szCs w:val="20"/>
                <w:lang w:eastAsia="en-GB"/>
                <w14:ligatures w14:val="none"/>
              </w:rPr>
              <w:t>B</w:t>
            </w:r>
          </w:p>
        </w:tc>
        <w:tc>
          <w:tcPr>
            <w:tcW w:w="960" w:type="dxa"/>
            <w:tcBorders>
              <w:top w:val="single" w:sz="4" w:space="0" w:color="auto"/>
              <w:left w:val="nil"/>
              <w:bottom w:val="single" w:sz="4" w:space="0" w:color="auto"/>
              <w:right w:val="nil"/>
            </w:tcBorders>
            <w:noWrap/>
            <w:vAlign w:val="center"/>
            <w:hideMark/>
          </w:tcPr>
          <w:p w14:paraId="29B6A4C0" w14:textId="77777777" w:rsidR="00564240" w:rsidRPr="00564240" w:rsidRDefault="00564240" w:rsidP="00564240">
            <w:pPr>
              <w:spacing w:after="0" w:line="240" w:lineRule="auto"/>
              <w:jc w:val="center"/>
              <w:rPr>
                <w:rFonts w:ascii="Arial" w:eastAsia="Times New Roman" w:hAnsi="Arial" w:cs="Arial"/>
                <w:b/>
                <w:bCs/>
                <w:color w:val="000000"/>
                <w:kern w:val="0"/>
                <w:sz w:val="20"/>
                <w:szCs w:val="20"/>
                <w:lang w:eastAsia="en-GB"/>
                <w14:ligatures w14:val="none"/>
              </w:rPr>
            </w:pPr>
            <w:r w:rsidRPr="00564240">
              <w:rPr>
                <w:rFonts w:ascii="Arial" w:eastAsia="Times New Roman" w:hAnsi="Arial" w:cs="Arial"/>
                <w:b/>
                <w:bCs/>
                <w:color w:val="000000"/>
                <w:kern w:val="0"/>
                <w:sz w:val="20"/>
                <w:szCs w:val="20"/>
                <w:lang w:eastAsia="en-GB"/>
                <w14:ligatures w14:val="none"/>
              </w:rPr>
              <w:t>SE</w:t>
            </w:r>
          </w:p>
        </w:tc>
        <w:tc>
          <w:tcPr>
            <w:tcW w:w="1883" w:type="dxa"/>
            <w:tcBorders>
              <w:top w:val="single" w:sz="4" w:space="0" w:color="auto"/>
              <w:left w:val="nil"/>
              <w:bottom w:val="single" w:sz="4" w:space="0" w:color="auto"/>
              <w:right w:val="nil"/>
            </w:tcBorders>
            <w:noWrap/>
            <w:vAlign w:val="center"/>
            <w:hideMark/>
          </w:tcPr>
          <w:p w14:paraId="5EDB23A1" w14:textId="77777777" w:rsidR="00564240" w:rsidRPr="00564240" w:rsidRDefault="00564240" w:rsidP="00564240">
            <w:pPr>
              <w:spacing w:after="0" w:line="240" w:lineRule="auto"/>
              <w:jc w:val="center"/>
              <w:rPr>
                <w:rFonts w:ascii="Arial" w:eastAsia="Times New Roman" w:hAnsi="Arial" w:cs="Arial"/>
                <w:b/>
                <w:bCs/>
                <w:color w:val="000000"/>
                <w:kern w:val="0"/>
                <w:sz w:val="20"/>
                <w:szCs w:val="20"/>
                <w:lang w:eastAsia="en-GB"/>
                <w14:ligatures w14:val="none"/>
              </w:rPr>
            </w:pPr>
            <w:r w:rsidRPr="00564240">
              <w:rPr>
                <w:rFonts w:ascii="Arial" w:eastAsia="Times New Roman" w:hAnsi="Arial" w:cs="Arial"/>
                <w:b/>
                <w:bCs/>
                <w:color w:val="000000"/>
                <w:kern w:val="0"/>
                <w:sz w:val="20"/>
                <w:szCs w:val="20"/>
                <w:lang w:eastAsia="en-GB"/>
                <w14:ligatures w14:val="none"/>
              </w:rPr>
              <w:t>Odds Ratio (OR)</w:t>
            </w:r>
          </w:p>
        </w:tc>
        <w:tc>
          <w:tcPr>
            <w:tcW w:w="1661" w:type="dxa"/>
            <w:tcBorders>
              <w:top w:val="single" w:sz="4" w:space="0" w:color="auto"/>
              <w:left w:val="nil"/>
              <w:bottom w:val="single" w:sz="4" w:space="0" w:color="auto"/>
              <w:right w:val="nil"/>
            </w:tcBorders>
            <w:noWrap/>
            <w:vAlign w:val="center"/>
            <w:hideMark/>
          </w:tcPr>
          <w:p w14:paraId="17F2B514" w14:textId="77777777" w:rsidR="00564240" w:rsidRPr="00564240" w:rsidRDefault="00564240" w:rsidP="00564240">
            <w:pPr>
              <w:spacing w:after="0" w:line="240" w:lineRule="auto"/>
              <w:jc w:val="center"/>
              <w:rPr>
                <w:rFonts w:ascii="Arial" w:eastAsia="Times New Roman" w:hAnsi="Arial" w:cs="Arial"/>
                <w:b/>
                <w:bCs/>
                <w:color w:val="000000"/>
                <w:kern w:val="0"/>
                <w:sz w:val="20"/>
                <w:szCs w:val="20"/>
                <w:lang w:eastAsia="en-GB"/>
                <w14:ligatures w14:val="none"/>
              </w:rPr>
            </w:pPr>
            <w:r w:rsidRPr="00564240">
              <w:rPr>
                <w:rFonts w:ascii="Arial" w:eastAsia="Times New Roman" w:hAnsi="Arial" w:cs="Arial"/>
                <w:b/>
                <w:bCs/>
                <w:color w:val="000000"/>
                <w:kern w:val="0"/>
                <w:sz w:val="20"/>
                <w:szCs w:val="20"/>
                <w:lang w:eastAsia="en-GB"/>
                <w14:ligatures w14:val="none"/>
              </w:rPr>
              <w:t>95% CI for OR</w:t>
            </w:r>
          </w:p>
        </w:tc>
        <w:tc>
          <w:tcPr>
            <w:tcW w:w="960" w:type="dxa"/>
            <w:tcBorders>
              <w:top w:val="single" w:sz="4" w:space="0" w:color="auto"/>
              <w:left w:val="nil"/>
              <w:bottom w:val="single" w:sz="4" w:space="0" w:color="auto"/>
              <w:right w:val="nil"/>
            </w:tcBorders>
            <w:noWrap/>
            <w:vAlign w:val="center"/>
            <w:hideMark/>
          </w:tcPr>
          <w:p w14:paraId="55196EB8" w14:textId="77777777" w:rsidR="00564240" w:rsidRPr="00564240" w:rsidRDefault="00564240" w:rsidP="00564240">
            <w:pPr>
              <w:spacing w:after="0" w:line="240" w:lineRule="auto"/>
              <w:jc w:val="center"/>
              <w:rPr>
                <w:rFonts w:ascii="Arial" w:eastAsia="Times New Roman" w:hAnsi="Arial" w:cs="Arial"/>
                <w:b/>
                <w:bCs/>
                <w:color w:val="000000"/>
                <w:kern w:val="0"/>
                <w:sz w:val="20"/>
                <w:szCs w:val="20"/>
                <w:lang w:eastAsia="en-GB"/>
                <w14:ligatures w14:val="none"/>
              </w:rPr>
            </w:pPr>
            <w:r w:rsidRPr="00564240">
              <w:rPr>
                <w:rFonts w:ascii="Arial" w:eastAsia="Times New Roman" w:hAnsi="Arial" w:cs="Arial"/>
                <w:b/>
                <w:bCs/>
                <w:color w:val="000000"/>
                <w:kern w:val="0"/>
                <w:sz w:val="20"/>
                <w:szCs w:val="20"/>
                <w:lang w:eastAsia="en-GB"/>
                <w14:ligatures w14:val="none"/>
              </w:rPr>
              <w:t>P-value</w:t>
            </w:r>
          </w:p>
        </w:tc>
      </w:tr>
      <w:tr w:rsidR="00564240" w:rsidRPr="00564240" w14:paraId="4B72BA89" w14:textId="77777777" w:rsidTr="00A01A22">
        <w:trPr>
          <w:trHeight w:val="53"/>
          <w:jc w:val="center"/>
        </w:trPr>
        <w:tc>
          <w:tcPr>
            <w:tcW w:w="1361" w:type="dxa"/>
            <w:tcBorders>
              <w:top w:val="nil"/>
              <w:left w:val="nil"/>
              <w:bottom w:val="nil"/>
              <w:right w:val="nil"/>
            </w:tcBorders>
            <w:noWrap/>
            <w:vAlign w:val="center"/>
            <w:hideMark/>
          </w:tcPr>
          <w:p w14:paraId="2597FC62" w14:textId="77777777" w:rsidR="00564240" w:rsidRPr="00564240" w:rsidRDefault="00564240" w:rsidP="00564240">
            <w:pPr>
              <w:spacing w:after="0" w:line="240" w:lineRule="auto"/>
              <w:rPr>
                <w:rFonts w:ascii="Arial" w:eastAsia="Times New Roman" w:hAnsi="Arial" w:cs="Arial"/>
                <w:color w:val="000000"/>
                <w:kern w:val="0"/>
                <w:sz w:val="20"/>
                <w:szCs w:val="20"/>
                <w:lang w:eastAsia="en-GB"/>
                <w14:ligatures w14:val="none"/>
              </w:rPr>
            </w:pPr>
            <w:r w:rsidRPr="00564240">
              <w:rPr>
                <w:rFonts w:ascii="Arial" w:eastAsia="Times New Roman" w:hAnsi="Arial" w:cs="Arial"/>
                <w:color w:val="000000"/>
                <w:kern w:val="0"/>
                <w:sz w:val="20"/>
                <w:szCs w:val="20"/>
                <w:lang w:eastAsia="en-GB"/>
                <w14:ligatures w14:val="none"/>
              </w:rPr>
              <w:t>NT-proBNP</w:t>
            </w:r>
          </w:p>
        </w:tc>
        <w:tc>
          <w:tcPr>
            <w:tcW w:w="960" w:type="dxa"/>
            <w:tcBorders>
              <w:top w:val="nil"/>
              <w:left w:val="nil"/>
              <w:bottom w:val="nil"/>
              <w:right w:val="nil"/>
            </w:tcBorders>
            <w:noWrap/>
            <w:vAlign w:val="center"/>
            <w:hideMark/>
          </w:tcPr>
          <w:p w14:paraId="52B9F0BA" w14:textId="77777777" w:rsidR="00564240" w:rsidRPr="00564240" w:rsidRDefault="00564240" w:rsidP="00564240">
            <w:pPr>
              <w:spacing w:after="0" w:line="240" w:lineRule="auto"/>
              <w:jc w:val="center"/>
              <w:rPr>
                <w:rFonts w:ascii="Arial" w:eastAsia="Times New Roman" w:hAnsi="Arial" w:cs="Arial"/>
                <w:color w:val="000000"/>
                <w:kern w:val="0"/>
                <w:sz w:val="20"/>
                <w:szCs w:val="20"/>
                <w:lang w:eastAsia="en-GB"/>
                <w14:ligatures w14:val="none"/>
              </w:rPr>
            </w:pPr>
            <w:r w:rsidRPr="00564240">
              <w:rPr>
                <w:rFonts w:ascii="Arial" w:eastAsia="Times New Roman" w:hAnsi="Arial" w:cs="Arial"/>
                <w:color w:val="000000"/>
                <w:kern w:val="0"/>
                <w:sz w:val="20"/>
                <w:szCs w:val="20"/>
                <w:lang w:eastAsia="en-GB"/>
                <w14:ligatures w14:val="none"/>
              </w:rPr>
              <w:t>1.073</w:t>
            </w:r>
          </w:p>
        </w:tc>
        <w:tc>
          <w:tcPr>
            <w:tcW w:w="960" w:type="dxa"/>
            <w:tcBorders>
              <w:top w:val="nil"/>
              <w:left w:val="nil"/>
              <w:bottom w:val="nil"/>
              <w:right w:val="nil"/>
            </w:tcBorders>
            <w:noWrap/>
            <w:vAlign w:val="center"/>
            <w:hideMark/>
          </w:tcPr>
          <w:p w14:paraId="4254E118" w14:textId="77777777" w:rsidR="00564240" w:rsidRPr="00564240" w:rsidRDefault="00564240" w:rsidP="00564240">
            <w:pPr>
              <w:spacing w:after="0" w:line="240" w:lineRule="auto"/>
              <w:jc w:val="center"/>
              <w:rPr>
                <w:rFonts w:ascii="Arial" w:eastAsia="Times New Roman" w:hAnsi="Arial" w:cs="Arial"/>
                <w:color w:val="000000"/>
                <w:kern w:val="0"/>
                <w:sz w:val="20"/>
                <w:szCs w:val="20"/>
                <w:lang w:eastAsia="en-GB"/>
                <w14:ligatures w14:val="none"/>
              </w:rPr>
            </w:pPr>
            <w:r w:rsidRPr="00564240">
              <w:rPr>
                <w:rFonts w:ascii="Arial" w:eastAsia="Times New Roman" w:hAnsi="Arial" w:cs="Arial"/>
                <w:color w:val="000000"/>
                <w:kern w:val="0"/>
                <w:sz w:val="20"/>
                <w:szCs w:val="20"/>
                <w:lang w:eastAsia="en-GB"/>
                <w14:ligatures w14:val="none"/>
              </w:rPr>
              <w:t>0.43</w:t>
            </w:r>
          </w:p>
        </w:tc>
        <w:tc>
          <w:tcPr>
            <w:tcW w:w="1883" w:type="dxa"/>
            <w:tcBorders>
              <w:top w:val="nil"/>
              <w:left w:val="nil"/>
              <w:bottom w:val="nil"/>
              <w:right w:val="nil"/>
            </w:tcBorders>
            <w:noWrap/>
            <w:vAlign w:val="center"/>
            <w:hideMark/>
          </w:tcPr>
          <w:p w14:paraId="4D4C212C" w14:textId="77777777" w:rsidR="00564240" w:rsidRPr="00564240" w:rsidRDefault="00564240" w:rsidP="00564240">
            <w:pPr>
              <w:spacing w:after="0" w:line="240" w:lineRule="auto"/>
              <w:jc w:val="center"/>
              <w:rPr>
                <w:rFonts w:ascii="Arial" w:eastAsia="Times New Roman" w:hAnsi="Arial" w:cs="Arial"/>
                <w:color w:val="000000"/>
                <w:kern w:val="0"/>
                <w:sz w:val="20"/>
                <w:szCs w:val="20"/>
                <w:lang w:eastAsia="en-GB"/>
                <w14:ligatures w14:val="none"/>
              </w:rPr>
            </w:pPr>
            <w:r w:rsidRPr="00564240">
              <w:rPr>
                <w:rFonts w:ascii="Arial" w:eastAsia="Times New Roman" w:hAnsi="Arial" w:cs="Arial"/>
                <w:color w:val="000000"/>
                <w:kern w:val="0"/>
                <w:sz w:val="20"/>
                <w:szCs w:val="20"/>
                <w:lang w:eastAsia="en-GB"/>
                <w14:ligatures w14:val="none"/>
              </w:rPr>
              <w:t>3.23</w:t>
            </w:r>
          </w:p>
        </w:tc>
        <w:tc>
          <w:tcPr>
            <w:tcW w:w="1661" w:type="dxa"/>
            <w:tcBorders>
              <w:top w:val="nil"/>
              <w:left w:val="nil"/>
              <w:bottom w:val="nil"/>
              <w:right w:val="nil"/>
            </w:tcBorders>
            <w:noWrap/>
            <w:vAlign w:val="center"/>
            <w:hideMark/>
          </w:tcPr>
          <w:p w14:paraId="7CA16B73" w14:textId="77777777" w:rsidR="00564240" w:rsidRPr="00564240" w:rsidRDefault="00564240" w:rsidP="00564240">
            <w:pPr>
              <w:spacing w:after="0" w:line="240" w:lineRule="auto"/>
              <w:jc w:val="center"/>
              <w:rPr>
                <w:rFonts w:ascii="Arial" w:eastAsia="Times New Roman" w:hAnsi="Arial" w:cs="Arial"/>
                <w:color w:val="000000"/>
                <w:kern w:val="0"/>
                <w:sz w:val="20"/>
                <w:szCs w:val="20"/>
                <w:lang w:eastAsia="en-GB"/>
                <w14:ligatures w14:val="none"/>
              </w:rPr>
            </w:pPr>
            <w:r w:rsidRPr="00564240">
              <w:rPr>
                <w:rFonts w:ascii="Arial" w:eastAsia="Times New Roman" w:hAnsi="Arial" w:cs="Arial"/>
                <w:color w:val="000000"/>
                <w:kern w:val="0"/>
                <w:sz w:val="20"/>
                <w:szCs w:val="20"/>
                <w:lang w:eastAsia="en-GB"/>
                <w14:ligatures w14:val="none"/>
              </w:rPr>
              <w:t>1.38 – 4.55</w:t>
            </w:r>
          </w:p>
        </w:tc>
        <w:tc>
          <w:tcPr>
            <w:tcW w:w="960" w:type="dxa"/>
            <w:tcBorders>
              <w:top w:val="nil"/>
              <w:left w:val="nil"/>
              <w:bottom w:val="nil"/>
              <w:right w:val="nil"/>
            </w:tcBorders>
            <w:noWrap/>
            <w:vAlign w:val="center"/>
            <w:hideMark/>
          </w:tcPr>
          <w:p w14:paraId="57A40C25" w14:textId="77777777" w:rsidR="00564240" w:rsidRPr="00564240" w:rsidRDefault="00564240" w:rsidP="00564240">
            <w:pPr>
              <w:spacing w:after="0" w:line="240" w:lineRule="auto"/>
              <w:jc w:val="center"/>
              <w:rPr>
                <w:rFonts w:ascii="Arial" w:eastAsia="Times New Roman" w:hAnsi="Arial" w:cs="Arial"/>
                <w:color w:val="000000"/>
                <w:kern w:val="0"/>
                <w:sz w:val="20"/>
                <w:szCs w:val="20"/>
                <w:lang w:eastAsia="en-GB"/>
                <w14:ligatures w14:val="none"/>
              </w:rPr>
            </w:pPr>
            <w:r w:rsidRPr="00564240">
              <w:rPr>
                <w:rFonts w:ascii="Arial" w:eastAsia="Times New Roman" w:hAnsi="Arial" w:cs="Arial"/>
                <w:color w:val="000000"/>
                <w:kern w:val="0"/>
                <w:sz w:val="20"/>
                <w:szCs w:val="20"/>
                <w:lang w:eastAsia="en-GB"/>
                <w14:ligatures w14:val="none"/>
              </w:rPr>
              <w:t>0.007</w:t>
            </w:r>
          </w:p>
        </w:tc>
      </w:tr>
      <w:tr w:rsidR="00564240" w:rsidRPr="00564240" w14:paraId="2AC2DF20" w14:textId="77777777" w:rsidTr="00A01A22">
        <w:trPr>
          <w:trHeight w:val="63"/>
          <w:jc w:val="center"/>
        </w:trPr>
        <w:tc>
          <w:tcPr>
            <w:tcW w:w="1361" w:type="dxa"/>
            <w:tcBorders>
              <w:top w:val="nil"/>
              <w:left w:val="nil"/>
              <w:bottom w:val="single" w:sz="4" w:space="0" w:color="auto"/>
              <w:right w:val="nil"/>
            </w:tcBorders>
            <w:noWrap/>
            <w:vAlign w:val="center"/>
            <w:hideMark/>
          </w:tcPr>
          <w:p w14:paraId="0B6B0479" w14:textId="77777777" w:rsidR="00564240" w:rsidRPr="00564240" w:rsidRDefault="00564240" w:rsidP="00564240">
            <w:pPr>
              <w:spacing w:after="0" w:line="240" w:lineRule="auto"/>
              <w:rPr>
                <w:rFonts w:ascii="Arial" w:eastAsia="Times New Roman" w:hAnsi="Arial" w:cs="Arial"/>
                <w:color w:val="000000"/>
                <w:kern w:val="0"/>
                <w:sz w:val="20"/>
                <w:szCs w:val="20"/>
                <w:lang w:eastAsia="en-GB"/>
                <w14:ligatures w14:val="none"/>
              </w:rPr>
            </w:pPr>
            <w:r w:rsidRPr="00564240">
              <w:rPr>
                <w:rFonts w:ascii="Arial" w:eastAsia="Times New Roman" w:hAnsi="Arial" w:cs="Arial"/>
                <w:color w:val="000000"/>
                <w:kern w:val="0"/>
                <w:sz w:val="20"/>
                <w:szCs w:val="20"/>
                <w:lang w:eastAsia="en-GB"/>
                <w14:ligatures w14:val="none"/>
              </w:rPr>
              <w:t>Copeptin</w:t>
            </w:r>
          </w:p>
        </w:tc>
        <w:tc>
          <w:tcPr>
            <w:tcW w:w="960" w:type="dxa"/>
            <w:tcBorders>
              <w:top w:val="nil"/>
              <w:left w:val="nil"/>
              <w:bottom w:val="single" w:sz="4" w:space="0" w:color="auto"/>
              <w:right w:val="nil"/>
            </w:tcBorders>
            <w:noWrap/>
            <w:vAlign w:val="center"/>
            <w:hideMark/>
          </w:tcPr>
          <w:p w14:paraId="23973C3F" w14:textId="77777777" w:rsidR="00564240" w:rsidRPr="00564240" w:rsidRDefault="00564240" w:rsidP="00564240">
            <w:pPr>
              <w:spacing w:after="0" w:line="240" w:lineRule="auto"/>
              <w:jc w:val="center"/>
              <w:rPr>
                <w:rFonts w:ascii="Arial" w:eastAsia="Times New Roman" w:hAnsi="Arial" w:cs="Arial"/>
                <w:color w:val="000000"/>
                <w:kern w:val="0"/>
                <w:sz w:val="20"/>
                <w:szCs w:val="20"/>
                <w:lang w:eastAsia="en-GB"/>
                <w14:ligatures w14:val="none"/>
              </w:rPr>
            </w:pPr>
            <w:r w:rsidRPr="00564240">
              <w:rPr>
                <w:rFonts w:ascii="Arial" w:eastAsia="Times New Roman" w:hAnsi="Arial" w:cs="Arial"/>
                <w:color w:val="000000"/>
                <w:kern w:val="0"/>
                <w:sz w:val="20"/>
                <w:szCs w:val="20"/>
                <w:lang w:eastAsia="en-GB"/>
                <w14:ligatures w14:val="none"/>
              </w:rPr>
              <w:t>1.263</w:t>
            </w:r>
          </w:p>
        </w:tc>
        <w:tc>
          <w:tcPr>
            <w:tcW w:w="960" w:type="dxa"/>
            <w:tcBorders>
              <w:top w:val="nil"/>
              <w:left w:val="nil"/>
              <w:bottom w:val="single" w:sz="4" w:space="0" w:color="auto"/>
              <w:right w:val="nil"/>
            </w:tcBorders>
            <w:noWrap/>
            <w:vAlign w:val="center"/>
            <w:hideMark/>
          </w:tcPr>
          <w:p w14:paraId="7BEF0FC1" w14:textId="77777777" w:rsidR="00564240" w:rsidRPr="00564240" w:rsidRDefault="00564240" w:rsidP="00564240">
            <w:pPr>
              <w:spacing w:after="0" w:line="240" w:lineRule="auto"/>
              <w:jc w:val="center"/>
              <w:rPr>
                <w:rFonts w:ascii="Arial" w:eastAsia="Times New Roman" w:hAnsi="Arial" w:cs="Arial"/>
                <w:color w:val="000000"/>
                <w:kern w:val="0"/>
                <w:sz w:val="20"/>
                <w:szCs w:val="20"/>
                <w:lang w:eastAsia="en-GB"/>
                <w14:ligatures w14:val="none"/>
              </w:rPr>
            </w:pPr>
            <w:r w:rsidRPr="00564240">
              <w:rPr>
                <w:rFonts w:ascii="Arial" w:eastAsia="Times New Roman" w:hAnsi="Arial" w:cs="Arial"/>
                <w:color w:val="000000"/>
                <w:kern w:val="0"/>
                <w:sz w:val="20"/>
                <w:szCs w:val="20"/>
                <w:lang w:eastAsia="en-GB"/>
                <w14:ligatures w14:val="none"/>
              </w:rPr>
              <w:t>0.45</w:t>
            </w:r>
          </w:p>
        </w:tc>
        <w:tc>
          <w:tcPr>
            <w:tcW w:w="1883" w:type="dxa"/>
            <w:tcBorders>
              <w:top w:val="nil"/>
              <w:left w:val="nil"/>
              <w:bottom w:val="single" w:sz="4" w:space="0" w:color="auto"/>
              <w:right w:val="nil"/>
            </w:tcBorders>
            <w:noWrap/>
            <w:vAlign w:val="center"/>
            <w:hideMark/>
          </w:tcPr>
          <w:p w14:paraId="1D3C5B46" w14:textId="77777777" w:rsidR="00564240" w:rsidRPr="00564240" w:rsidRDefault="00564240" w:rsidP="00564240">
            <w:pPr>
              <w:spacing w:after="0" w:line="240" w:lineRule="auto"/>
              <w:jc w:val="center"/>
              <w:rPr>
                <w:rFonts w:ascii="Arial" w:eastAsia="Times New Roman" w:hAnsi="Arial" w:cs="Arial"/>
                <w:color w:val="000000"/>
                <w:kern w:val="0"/>
                <w:sz w:val="20"/>
                <w:szCs w:val="20"/>
                <w:lang w:eastAsia="en-GB"/>
                <w14:ligatures w14:val="none"/>
              </w:rPr>
            </w:pPr>
            <w:r w:rsidRPr="00564240">
              <w:rPr>
                <w:rFonts w:ascii="Arial" w:eastAsia="Times New Roman" w:hAnsi="Arial" w:cs="Arial"/>
                <w:color w:val="000000"/>
                <w:kern w:val="0"/>
                <w:sz w:val="20"/>
                <w:szCs w:val="20"/>
                <w:lang w:eastAsia="en-GB"/>
                <w14:ligatures w14:val="none"/>
              </w:rPr>
              <w:t>2.33</w:t>
            </w:r>
          </w:p>
        </w:tc>
        <w:tc>
          <w:tcPr>
            <w:tcW w:w="1661" w:type="dxa"/>
            <w:tcBorders>
              <w:top w:val="nil"/>
              <w:left w:val="nil"/>
              <w:bottom w:val="single" w:sz="4" w:space="0" w:color="auto"/>
              <w:right w:val="nil"/>
            </w:tcBorders>
            <w:noWrap/>
            <w:vAlign w:val="center"/>
            <w:hideMark/>
          </w:tcPr>
          <w:p w14:paraId="2F863F28" w14:textId="77777777" w:rsidR="00564240" w:rsidRPr="00564240" w:rsidRDefault="00564240" w:rsidP="00564240">
            <w:pPr>
              <w:spacing w:after="0" w:line="240" w:lineRule="auto"/>
              <w:jc w:val="center"/>
              <w:rPr>
                <w:rFonts w:ascii="Arial" w:eastAsia="Times New Roman" w:hAnsi="Arial" w:cs="Arial"/>
                <w:color w:val="000000"/>
                <w:kern w:val="0"/>
                <w:sz w:val="20"/>
                <w:szCs w:val="20"/>
                <w:lang w:eastAsia="en-GB"/>
                <w14:ligatures w14:val="none"/>
              </w:rPr>
            </w:pPr>
            <w:r w:rsidRPr="00564240">
              <w:rPr>
                <w:rFonts w:ascii="Arial" w:eastAsia="Times New Roman" w:hAnsi="Arial" w:cs="Arial"/>
                <w:color w:val="000000"/>
                <w:kern w:val="0"/>
                <w:sz w:val="20"/>
                <w:szCs w:val="20"/>
                <w:lang w:eastAsia="en-GB"/>
                <w14:ligatures w14:val="none"/>
              </w:rPr>
              <w:t>1.78 – 3.43</w:t>
            </w:r>
          </w:p>
        </w:tc>
        <w:tc>
          <w:tcPr>
            <w:tcW w:w="960" w:type="dxa"/>
            <w:tcBorders>
              <w:top w:val="nil"/>
              <w:left w:val="nil"/>
              <w:bottom w:val="single" w:sz="4" w:space="0" w:color="auto"/>
              <w:right w:val="nil"/>
            </w:tcBorders>
            <w:noWrap/>
            <w:vAlign w:val="center"/>
            <w:hideMark/>
          </w:tcPr>
          <w:p w14:paraId="4C31BA3F" w14:textId="77777777" w:rsidR="00564240" w:rsidRPr="00564240" w:rsidRDefault="00564240" w:rsidP="00564240">
            <w:pPr>
              <w:spacing w:after="0" w:line="240" w:lineRule="auto"/>
              <w:jc w:val="center"/>
              <w:rPr>
                <w:rFonts w:ascii="Arial" w:eastAsia="Times New Roman" w:hAnsi="Arial" w:cs="Arial"/>
                <w:color w:val="000000"/>
                <w:kern w:val="0"/>
                <w:sz w:val="20"/>
                <w:szCs w:val="20"/>
                <w:lang w:eastAsia="en-GB"/>
                <w14:ligatures w14:val="none"/>
              </w:rPr>
            </w:pPr>
            <w:r w:rsidRPr="00564240">
              <w:rPr>
                <w:rFonts w:ascii="Arial" w:eastAsia="Times New Roman" w:hAnsi="Arial" w:cs="Arial"/>
                <w:color w:val="000000"/>
                <w:kern w:val="0"/>
                <w:sz w:val="20"/>
                <w:szCs w:val="20"/>
                <w:lang w:eastAsia="en-GB"/>
                <w14:ligatures w14:val="none"/>
              </w:rPr>
              <w:t>0.001</w:t>
            </w:r>
          </w:p>
        </w:tc>
      </w:tr>
    </w:tbl>
    <w:p w14:paraId="6AEE52AA" w14:textId="03E3A189" w:rsidR="009C7E0E" w:rsidRPr="00EB4694" w:rsidRDefault="00E87283" w:rsidP="00E87283">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EB4694">
        <w:rPr>
          <w:rFonts w:ascii="Arial" w:eastAsia="Times New Roman" w:hAnsi="Arial" w:cs="Arial"/>
          <w:color w:val="0F1115"/>
          <w:kern w:val="0"/>
          <w:sz w:val="20"/>
          <w:szCs w:val="20"/>
          <w:lang w:eastAsia="en-GB"/>
          <w14:ligatures w14:val="none"/>
        </w:rPr>
        <w:t>SE = standard error; CI = confidence interval. Dependent variable: presence of heart failure (yes/no). Both biomarkers entered simultaneously</w:t>
      </w:r>
    </w:p>
    <w:p w14:paraId="278057CC" w14:textId="77777777" w:rsidR="00E87283" w:rsidRPr="00EC7F67" w:rsidRDefault="00E87283"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B08DE17" w14:textId="77777777" w:rsidR="001659D7" w:rsidRDefault="001659D7"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1659D7" w:rsidSect="001659D7">
          <w:type w:val="continuous"/>
          <w:pgSz w:w="11906" w:h="16838"/>
          <w:pgMar w:top="1440" w:right="1440" w:bottom="1440" w:left="1440" w:header="720" w:footer="720" w:gutter="0"/>
          <w:cols w:space="720"/>
          <w:titlePg/>
          <w:docGrid w:linePitch="360"/>
        </w:sectPr>
      </w:pPr>
    </w:p>
    <w:p w14:paraId="1C2C4BBF" w14:textId="77777777" w:rsidR="00D73BFC" w:rsidRPr="009C7E0E"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9C7E0E">
        <w:rPr>
          <w:rFonts w:ascii="Arial" w:eastAsia="Times New Roman" w:hAnsi="Arial" w:cs="Arial"/>
          <w:i/>
          <w:iCs/>
          <w:color w:val="0F1115"/>
          <w:kern w:val="0"/>
          <w:sz w:val="20"/>
          <w:szCs w:val="20"/>
          <w:lang w:eastAsia="en-GB"/>
          <w14:ligatures w14:val="none"/>
        </w:rPr>
        <w:t>Independent predictors of systolic dysfunction severity</w:t>
      </w:r>
    </w:p>
    <w:p w14:paraId="6A62AD82" w14:textId="77777777"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To examine whether the biomarkers could predict the degree of cardiac impairment, ordinal logistic regression analysis was performed with systolic dysfunction severity (mild, moderate, severe) as the ordinal outcome (Table 5). The results revealed a divergent pattern. NT</w:t>
      </w:r>
      <w:r w:rsidRPr="00EC7F67">
        <w:rPr>
          <w:rFonts w:ascii="Arial" w:eastAsia="Times New Roman" w:hAnsi="Arial" w:cs="Arial"/>
          <w:color w:val="0F1115"/>
          <w:kern w:val="0"/>
          <w:sz w:val="20"/>
          <w:szCs w:val="20"/>
          <w:lang w:eastAsia="en-GB"/>
          <w14:ligatures w14:val="none"/>
        </w:rPr>
        <w:noBreakHyphen/>
        <w:t xml:space="preserve">proBNP maintained a statistically significant association </w:t>
      </w:r>
      <w:r w:rsidRPr="00EC7F67">
        <w:rPr>
          <w:rFonts w:ascii="Arial" w:eastAsia="Times New Roman" w:hAnsi="Arial" w:cs="Arial"/>
          <w:color w:val="0F1115"/>
          <w:kern w:val="0"/>
          <w:sz w:val="20"/>
          <w:szCs w:val="20"/>
          <w:lang w:eastAsia="en-GB"/>
          <w14:ligatures w14:val="none"/>
        </w:rPr>
        <w:t>with severity (OR 2.12, 95% CI: 1.39–3.22, p=0.001). In contrast, copeptin did not show a significant relationship with severity (OR 0.99, 95% CI: 0.61–1.62, p=0.87). This indicates that while both markers are useful for distinguishing HF from health, only NT</w:t>
      </w:r>
      <w:r w:rsidRPr="00EC7F67">
        <w:rPr>
          <w:rFonts w:ascii="Arial" w:eastAsia="Times New Roman" w:hAnsi="Arial" w:cs="Arial"/>
          <w:color w:val="0F1115"/>
          <w:kern w:val="0"/>
          <w:sz w:val="20"/>
          <w:szCs w:val="20"/>
          <w:lang w:eastAsia="en-GB"/>
          <w14:ligatures w14:val="none"/>
        </w:rPr>
        <w:noBreakHyphen/>
        <w:t>proBNP captures incremental information about the degree of systolic impairment. The proportional odds assumption was not violated (p&gt;0.05).</w:t>
      </w:r>
    </w:p>
    <w:p w14:paraId="7E3CF543" w14:textId="77777777" w:rsidR="001659D7" w:rsidRDefault="001659D7"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1659D7" w:rsidSect="001659D7">
          <w:type w:val="continuous"/>
          <w:pgSz w:w="11906" w:h="16838"/>
          <w:pgMar w:top="1440" w:right="1440" w:bottom="1440" w:left="1440" w:header="720" w:footer="720" w:gutter="0"/>
          <w:cols w:num="2" w:space="432"/>
          <w:titlePg/>
          <w:docGrid w:linePitch="360"/>
        </w:sectPr>
      </w:pPr>
    </w:p>
    <w:p w14:paraId="43E10514" w14:textId="77777777" w:rsidR="009C7E0E" w:rsidRPr="00EC7F67" w:rsidRDefault="009C7E0E"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6A74D3C" w14:textId="2D952D6E" w:rsidR="00D73BFC" w:rsidRPr="00EC7F67" w:rsidRDefault="00D73BFC" w:rsidP="00564240">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EC7F67">
        <w:rPr>
          <w:rFonts w:ascii="Arial" w:eastAsia="Times New Roman" w:hAnsi="Arial" w:cs="Arial"/>
          <w:b/>
          <w:bCs/>
          <w:color w:val="0F1115"/>
          <w:kern w:val="0"/>
          <w:sz w:val="20"/>
          <w:szCs w:val="20"/>
          <w:lang w:eastAsia="en-GB"/>
          <w14:ligatures w14:val="none"/>
        </w:rPr>
        <w:t>Table</w:t>
      </w:r>
      <w:r w:rsidR="00564240">
        <w:rPr>
          <w:rFonts w:ascii="Arial" w:eastAsia="Times New Roman" w:hAnsi="Arial" w:cs="Arial"/>
          <w:b/>
          <w:bCs/>
          <w:color w:val="0F1115"/>
          <w:kern w:val="0"/>
          <w:sz w:val="20"/>
          <w:szCs w:val="20"/>
          <w:lang w:eastAsia="en-GB"/>
          <w14:ligatures w14:val="none"/>
        </w:rPr>
        <w:t xml:space="preserve"> 5:</w:t>
      </w:r>
      <w:r w:rsidR="00EB4694">
        <w:rPr>
          <w:rFonts w:ascii="Arial" w:eastAsia="Times New Roman" w:hAnsi="Arial" w:cs="Arial"/>
          <w:b/>
          <w:bCs/>
          <w:color w:val="0F1115"/>
          <w:kern w:val="0"/>
          <w:sz w:val="20"/>
          <w:szCs w:val="20"/>
          <w:lang w:eastAsia="en-GB"/>
          <w14:ligatures w14:val="none"/>
        </w:rPr>
        <w:t xml:space="preserve"> </w:t>
      </w:r>
      <w:r w:rsidR="002233E4" w:rsidRPr="002233E4">
        <w:rPr>
          <w:rFonts w:ascii="Arial" w:eastAsia="Times New Roman" w:hAnsi="Arial" w:cs="Arial"/>
          <w:b/>
          <w:bCs/>
          <w:color w:val="0F1115"/>
          <w:kern w:val="0"/>
          <w:sz w:val="20"/>
          <w:szCs w:val="20"/>
          <w:lang w:eastAsia="en-GB"/>
          <w14:ligatures w14:val="none"/>
        </w:rPr>
        <w:t>Ordinal Logistic Regression Analysis for Predicting Systolic Dysfunction Severity</w:t>
      </w:r>
    </w:p>
    <w:tbl>
      <w:tblPr>
        <w:tblW w:w="7785" w:type="dxa"/>
        <w:jc w:val="center"/>
        <w:tblLook w:val="04A0" w:firstRow="1" w:lastRow="0" w:firstColumn="1" w:lastColumn="0" w:noHBand="0" w:noVBand="1"/>
      </w:tblPr>
      <w:tblGrid>
        <w:gridCol w:w="1361"/>
        <w:gridCol w:w="960"/>
        <w:gridCol w:w="960"/>
        <w:gridCol w:w="1883"/>
        <w:gridCol w:w="1661"/>
        <w:gridCol w:w="960"/>
      </w:tblGrid>
      <w:tr w:rsidR="00435389" w:rsidRPr="00435389" w14:paraId="7A0C78C2" w14:textId="77777777" w:rsidTr="00435389">
        <w:trPr>
          <w:trHeight w:val="260"/>
          <w:jc w:val="center"/>
        </w:trPr>
        <w:tc>
          <w:tcPr>
            <w:tcW w:w="1361" w:type="dxa"/>
            <w:tcBorders>
              <w:top w:val="single" w:sz="4" w:space="0" w:color="auto"/>
              <w:left w:val="nil"/>
              <w:bottom w:val="single" w:sz="4" w:space="0" w:color="auto"/>
              <w:right w:val="nil"/>
            </w:tcBorders>
            <w:noWrap/>
            <w:vAlign w:val="center"/>
            <w:hideMark/>
          </w:tcPr>
          <w:p w14:paraId="6CAEC414" w14:textId="77777777" w:rsidR="00435389" w:rsidRPr="00435389" w:rsidRDefault="00435389" w:rsidP="00435389">
            <w:pPr>
              <w:spacing w:after="0" w:line="240" w:lineRule="auto"/>
              <w:jc w:val="center"/>
              <w:rPr>
                <w:rFonts w:ascii="Arial" w:eastAsia="Times New Roman" w:hAnsi="Arial" w:cs="Arial"/>
                <w:b/>
                <w:bCs/>
                <w:color w:val="000000"/>
                <w:kern w:val="0"/>
                <w:sz w:val="20"/>
                <w:szCs w:val="20"/>
                <w:lang w:eastAsia="en-GB"/>
                <w14:ligatures w14:val="none"/>
              </w:rPr>
            </w:pPr>
            <w:r w:rsidRPr="00435389">
              <w:rPr>
                <w:rFonts w:ascii="Arial" w:eastAsia="Times New Roman" w:hAnsi="Arial" w:cs="Arial"/>
                <w:b/>
                <w:bCs/>
                <w:color w:val="000000"/>
                <w:kern w:val="0"/>
                <w:sz w:val="20"/>
                <w:szCs w:val="20"/>
                <w:lang w:eastAsia="en-GB"/>
                <w14:ligatures w14:val="none"/>
              </w:rPr>
              <w:lastRenderedPageBreak/>
              <w:t>Variable</w:t>
            </w:r>
          </w:p>
        </w:tc>
        <w:tc>
          <w:tcPr>
            <w:tcW w:w="960" w:type="dxa"/>
            <w:tcBorders>
              <w:top w:val="single" w:sz="4" w:space="0" w:color="auto"/>
              <w:left w:val="nil"/>
              <w:bottom w:val="single" w:sz="4" w:space="0" w:color="auto"/>
              <w:right w:val="nil"/>
            </w:tcBorders>
            <w:noWrap/>
            <w:vAlign w:val="center"/>
            <w:hideMark/>
          </w:tcPr>
          <w:p w14:paraId="07A5211D" w14:textId="77777777" w:rsidR="00435389" w:rsidRPr="00435389" w:rsidRDefault="00435389" w:rsidP="00435389">
            <w:pPr>
              <w:spacing w:after="0" w:line="240" w:lineRule="auto"/>
              <w:jc w:val="center"/>
              <w:rPr>
                <w:rFonts w:ascii="Arial" w:eastAsia="Times New Roman" w:hAnsi="Arial" w:cs="Arial"/>
                <w:b/>
                <w:bCs/>
                <w:color w:val="000000"/>
                <w:kern w:val="0"/>
                <w:sz w:val="20"/>
                <w:szCs w:val="20"/>
                <w:lang w:eastAsia="en-GB"/>
                <w14:ligatures w14:val="none"/>
              </w:rPr>
            </w:pPr>
            <w:r w:rsidRPr="00435389">
              <w:rPr>
                <w:rFonts w:ascii="Arial" w:eastAsia="Times New Roman" w:hAnsi="Arial" w:cs="Arial"/>
                <w:b/>
                <w:bCs/>
                <w:color w:val="000000"/>
                <w:kern w:val="0"/>
                <w:sz w:val="20"/>
                <w:szCs w:val="20"/>
                <w:lang w:eastAsia="en-GB"/>
                <w14:ligatures w14:val="none"/>
              </w:rPr>
              <w:t>B</w:t>
            </w:r>
          </w:p>
        </w:tc>
        <w:tc>
          <w:tcPr>
            <w:tcW w:w="960" w:type="dxa"/>
            <w:tcBorders>
              <w:top w:val="single" w:sz="4" w:space="0" w:color="auto"/>
              <w:left w:val="nil"/>
              <w:bottom w:val="single" w:sz="4" w:space="0" w:color="auto"/>
              <w:right w:val="nil"/>
            </w:tcBorders>
            <w:noWrap/>
            <w:vAlign w:val="center"/>
            <w:hideMark/>
          </w:tcPr>
          <w:p w14:paraId="64F41419" w14:textId="77777777" w:rsidR="00435389" w:rsidRPr="00435389" w:rsidRDefault="00435389" w:rsidP="00435389">
            <w:pPr>
              <w:spacing w:after="0" w:line="240" w:lineRule="auto"/>
              <w:jc w:val="center"/>
              <w:rPr>
                <w:rFonts w:ascii="Arial" w:eastAsia="Times New Roman" w:hAnsi="Arial" w:cs="Arial"/>
                <w:b/>
                <w:bCs/>
                <w:color w:val="000000"/>
                <w:kern w:val="0"/>
                <w:sz w:val="20"/>
                <w:szCs w:val="20"/>
                <w:lang w:eastAsia="en-GB"/>
                <w14:ligatures w14:val="none"/>
              </w:rPr>
            </w:pPr>
            <w:r w:rsidRPr="00435389">
              <w:rPr>
                <w:rFonts w:ascii="Arial" w:eastAsia="Times New Roman" w:hAnsi="Arial" w:cs="Arial"/>
                <w:b/>
                <w:bCs/>
                <w:color w:val="000000"/>
                <w:kern w:val="0"/>
                <w:sz w:val="20"/>
                <w:szCs w:val="20"/>
                <w:lang w:eastAsia="en-GB"/>
                <w14:ligatures w14:val="none"/>
              </w:rPr>
              <w:t>SE</w:t>
            </w:r>
          </w:p>
        </w:tc>
        <w:tc>
          <w:tcPr>
            <w:tcW w:w="1883" w:type="dxa"/>
            <w:tcBorders>
              <w:top w:val="single" w:sz="4" w:space="0" w:color="auto"/>
              <w:left w:val="nil"/>
              <w:bottom w:val="single" w:sz="4" w:space="0" w:color="auto"/>
              <w:right w:val="nil"/>
            </w:tcBorders>
            <w:noWrap/>
            <w:vAlign w:val="center"/>
            <w:hideMark/>
          </w:tcPr>
          <w:p w14:paraId="02B3F6A0" w14:textId="77777777" w:rsidR="00435389" w:rsidRPr="00435389" w:rsidRDefault="00435389" w:rsidP="00435389">
            <w:pPr>
              <w:spacing w:after="0" w:line="240" w:lineRule="auto"/>
              <w:jc w:val="center"/>
              <w:rPr>
                <w:rFonts w:ascii="Arial" w:eastAsia="Times New Roman" w:hAnsi="Arial" w:cs="Arial"/>
                <w:b/>
                <w:bCs/>
                <w:color w:val="000000"/>
                <w:kern w:val="0"/>
                <w:sz w:val="20"/>
                <w:szCs w:val="20"/>
                <w:lang w:eastAsia="en-GB"/>
                <w14:ligatures w14:val="none"/>
              </w:rPr>
            </w:pPr>
            <w:r w:rsidRPr="00435389">
              <w:rPr>
                <w:rFonts w:ascii="Arial" w:eastAsia="Times New Roman" w:hAnsi="Arial" w:cs="Arial"/>
                <w:b/>
                <w:bCs/>
                <w:color w:val="000000"/>
                <w:kern w:val="0"/>
                <w:sz w:val="20"/>
                <w:szCs w:val="20"/>
                <w:lang w:eastAsia="en-GB"/>
                <w14:ligatures w14:val="none"/>
              </w:rPr>
              <w:t>Odds Ratio (OR)</w:t>
            </w:r>
          </w:p>
        </w:tc>
        <w:tc>
          <w:tcPr>
            <w:tcW w:w="1661" w:type="dxa"/>
            <w:tcBorders>
              <w:top w:val="single" w:sz="4" w:space="0" w:color="auto"/>
              <w:left w:val="nil"/>
              <w:bottom w:val="single" w:sz="4" w:space="0" w:color="auto"/>
              <w:right w:val="nil"/>
            </w:tcBorders>
            <w:noWrap/>
            <w:vAlign w:val="center"/>
            <w:hideMark/>
          </w:tcPr>
          <w:p w14:paraId="4D090F0C" w14:textId="77777777" w:rsidR="00435389" w:rsidRPr="00435389" w:rsidRDefault="00435389" w:rsidP="00435389">
            <w:pPr>
              <w:spacing w:after="0" w:line="240" w:lineRule="auto"/>
              <w:jc w:val="center"/>
              <w:rPr>
                <w:rFonts w:ascii="Arial" w:eastAsia="Times New Roman" w:hAnsi="Arial" w:cs="Arial"/>
                <w:b/>
                <w:bCs/>
                <w:color w:val="000000"/>
                <w:kern w:val="0"/>
                <w:sz w:val="20"/>
                <w:szCs w:val="20"/>
                <w:lang w:eastAsia="en-GB"/>
                <w14:ligatures w14:val="none"/>
              </w:rPr>
            </w:pPr>
            <w:r w:rsidRPr="00435389">
              <w:rPr>
                <w:rFonts w:ascii="Arial" w:eastAsia="Times New Roman" w:hAnsi="Arial" w:cs="Arial"/>
                <w:b/>
                <w:bCs/>
                <w:color w:val="000000"/>
                <w:kern w:val="0"/>
                <w:sz w:val="20"/>
                <w:szCs w:val="20"/>
                <w:lang w:eastAsia="en-GB"/>
                <w14:ligatures w14:val="none"/>
              </w:rPr>
              <w:t>95% CI for OR</w:t>
            </w:r>
          </w:p>
        </w:tc>
        <w:tc>
          <w:tcPr>
            <w:tcW w:w="960" w:type="dxa"/>
            <w:tcBorders>
              <w:top w:val="single" w:sz="4" w:space="0" w:color="auto"/>
              <w:left w:val="nil"/>
              <w:bottom w:val="single" w:sz="4" w:space="0" w:color="auto"/>
              <w:right w:val="nil"/>
            </w:tcBorders>
            <w:noWrap/>
            <w:vAlign w:val="center"/>
            <w:hideMark/>
          </w:tcPr>
          <w:p w14:paraId="6F931EAB" w14:textId="77777777" w:rsidR="00435389" w:rsidRPr="00435389" w:rsidRDefault="00435389" w:rsidP="00435389">
            <w:pPr>
              <w:spacing w:after="0" w:line="240" w:lineRule="auto"/>
              <w:jc w:val="center"/>
              <w:rPr>
                <w:rFonts w:ascii="Arial" w:eastAsia="Times New Roman" w:hAnsi="Arial" w:cs="Arial"/>
                <w:b/>
                <w:bCs/>
                <w:color w:val="000000"/>
                <w:kern w:val="0"/>
                <w:sz w:val="20"/>
                <w:szCs w:val="20"/>
                <w:lang w:eastAsia="en-GB"/>
                <w14:ligatures w14:val="none"/>
              </w:rPr>
            </w:pPr>
            <w:r w:rsidRPr="00435389">
              <w:rPr>
                <w:rFonts w:ascii="Arial" w:eastAsia="Times New Roman" w:hAnsi="Arial" w:cs="Arial"/>
                <w:b/>
                <w:bCs/>
                <w:color w:val="000000"/>
                <w:kern w:val="0"/>
                <w:sz w:val="20"/>
                <w:szCs w:val="20"/>
                <w:lang w:eastAsia="en-GB"/>
                <w14:ligatures w14:val="none"/>
              </w:rPr>
              <w:t>P-value</w:t>
            </w:r>
          </w:p>
        </w:tc>
      </w:tr>
      <w:tr w:rsidR="00435389" w:rsidRPr="00435389" w14:paraId="5B654F59" w14:textId="77777777" w:rsidTr="00A01A22">
        <w:trPr>
          <w:trHeight w:val="53"/>
          <w:jc w:val="center"/>
        </w:trPr>
        <w:tc>
          <w:tcPr>
            <w:tcW w:w="1361" w:type="dxa"/>
            <w:tcBorders>
              <w:top w:val="nil"/>
              <w:left w:val="nil"/>
              <w:bottom w:val="nil"/>
              <w:right w:val="nil"/>
            </w:tcBorders>
            <w:noWrap/>
            <w:vAlign w:val="center"/>
            <w:hideMark/>
          </w:tcPr>
          <w:p w14:paraId="4B81A762" w14:textId="77777777" w:rsidR="00435389" w:rsidRPr="00435389" w:rsidRDefault="00435389" w:rsidP="00435389">
            <w:pPr>
              <w:spacing w:after="0" w:line="240" w:lineRule="auto"/>
              <w:rPr>
                <w:rFonts w:ascii="Arial" w:eastAsia="Times New Roman" w:hAnsi="Arial" w:cs="Arial"/>
                <w:color w:val="000000"/>
                <w:kern w:val="0"/>
                <w:sz w:val="20"/>
                <w:szCs w:val="20"/>
                <w:lang w:eastAsia="en-GB"/>
                <w14:ligatures w14:val="none"/>
              </w:rPr>
            </w:pPr>
            <w:r w:rsidRPr="00435389">
              <w:rPr>
                <w:rFonts w:ascii="Arial" w:eastAsia="Times New Roman" w:hAnsi="Arial" w:cs="Arial"/>
                <w:color w:val="000000"/>
                <w:kern w:val="0"/>
                <w:sz w:val="20"/>
                <w:szCs w:val="20"/>
                <w:lang w:eastAsia="en-GB"/>
                <w14:ligatures w14:val="none"/>
              </w:rPr>
              <w:t>NT-proBNP</w:t>
            </w:r>
          </w:p>
        </w:tc>
        <w:tc>
          <w:tcPr>
            <w:tcW w:w="960" w:type="dxa"/>
            <w:tcBorders>
              <w:top w:val="nil"/>
              <w:left w:val="nil"/>
              <w:bottom w:val="nil"/>
              <w:right w:val="nil"/>
            </w:tcBorders>
            <w:noWrap/>
            <w:vAlign w:val="center"/>
            <w:hideMark/>
          </w:tcPr>
          <w:p w14:paraId="47FF2CA6" w14:textId="77777777" w:rsidR="00435389" w:rsidRPr="00435389" w:rsidRDefault="00435389" w:rsidP="00435389">
            <w:pPr>
              <w:spacing w:after="0" w:line="240" w:lineRule="auto"/>
              <w:jc w:val="center"/>
              <w:rPr>
                <w:rFonts w:ascii="Arial" w:eastAsia="Times New Roman" w:hAnsi="Arial" w:cs="Arial"/>
                <w:color w:val="000000"/>
                <w:kern w:val="0"/>
                <w:sz w:val="20"/>
                <w:szCs w:val="20"/>
                <w:lang w:eastAsia="en-GB"/>
                <w14:ligatures w14:val="none"/>
              </w:rPr>
            </w:pPr>
            <w:r w:rsidRPr="00435389">
              <w:rPr>
                <w:rFonts w:ascii="Arial" w:eastAsia="Times New Roman" w:hAnsi="Arial" w:cs="Arial"/>
                <w:color w:val="000000"/>
                <w:kern w:val="0"/>
                <w:sz w:val="20"/>
                <w:szCs w:val="20"/>
                <w:lang w:eastAsia="en-GB"/>
                <w14:ligatures w14:val="none"/>
              </w:rPr>
              <w:t>0.75</w:t>
            </w:r>
          </w:p>
        </w:tc>
        <w:tc>
          <w:tcPr>
            <w:tcW w:w="960" w:type="dxa"/>
            <w:tcBorders>
              <w:top w:val="nil"/>
              <w:left w:val="nil"/>
              <w:bottom w:val="nil"/>
              <w:right w:val="nil"/>
            </w:tcBorders>
            <w:noWrap/>
            <w:vAlign w:val="center"/>
            <w:hideMark/>
          </w:tcPr>
          <w:p w14:paraId="2360B22D" w14:textId="77777777" w:rsidR="00435389" w:rsidRPr="00435389" w:rsidRDefault="00435389" w:rsidP="00435389">
            <w:pPr>
              <w:spacing w:after="0" w:line="240" w:lineRule="auto"/>
              <w:jc w:val="center"/>
              <w:rPr>
                <w:rFonts w:ascii="Arial" w:eastAsia="Times New Roman" w:hAnsi="Arial" w:cs="Arial"/>
                <w:color w:val="000000"/>
                <w:kern w:val="0"/>
                <w:sz w:val="20"/>
                <w:szCs w:val="20"/>
                <w:lang w:eastAsia="en-GB"/>
                <w14:ligatures w14:val="none"/>
              </w:rPr>
            </w:pPr>
            <w:r w:rsidRPr="00435389">
              <w:rPr>
                <w:rFonts w:ascii="Arial" w:eastAsia="Times New Roman" w:hAnsi="Arial" w:cs="Arial"/>
                <w:color w:val="000000"/>
                <w:kern w:val="0"/>
                <w:sz w:val="20"/>
                <w:szCs w:val="20"/>
                <w:lang w:eastAsia="en-GB"/>
                <w14:ligatures w14:val="none"/>
              </w:rPr>
              <w:t>0.214</w:t>
            </w:r>
          </w:p>
        </w:tc>
        <w:tc>
          <w:tcPr>
            <w:tcW w:w="1883" w:type="dxa"/>
            <w:tcBorders>
              <w:top w:val="nil"/>
              <w:left w:val="nil"/>
              <w:bottom w:val="nil"/>
              <w:right w:val="nil"/>
            </w:tcBorders>
            <w:noWrap/>
            <w:vAlign w:val="center"/>
            <w:hideMark/>
          </w:tcPr>
          <w:p w14:paraId="4FA021F8" w14:textId="77777777" w:rsidR="00435389" w:rsidRPr="00435389" w:rsidRDefault="00435389" w:rsidP="00435389">
            <w:pPr>
              <w:spacing w:after="0" w:line="240" w:lineRule="auto"/>
              <w:jc w:val="center"/>
              <w:rPr>
                <w:rFonts w:ascii="Arial" w:eastAsia="Times New Roman" w:hAnsi="Arial" w:cs="Arial"/>
                <w:color w:val="000000"/>
                <w:kern w:val="0"/>
                <w:sz w:val="20"/>
                <w:szCs w:val="20"/>
                <w:lang w:eastAsia="en-GB"/>
                <w14:ligatures w14:val="none"/>
              </w:rPr>
            </w:pPr>
            <w:r w:rsidRPr="00435389">
              <w:rPr>
                <w:rFonts w:ascii="Arial" w:eastAsia="Times New Roman" w:hAnsi="Arial" w:cs="Arial"/>
                <w:color w:val="000000"/>
                <w:kern w:val="0"/>
                <w:sz w:val="20"/>
                <w:szCs w:val="20"/>
                <w:lang w:eastAsia="en-GB"/>
                <w14:ligatures w14:val="none"/>
              </w:rPr>
              <w:t>2.12</w:t>
            </w:r>
          </w:p>
        </w:tc>
        <w:tc>
          <w:tcPr>
            <w:tcW w:w="1661" w:type="dxa"/>
            <w:tcBorders>
              <w:top w:val="nil"/>
              <w:left w:val="nil"/>
              <w:bottom w:val="nil"/>
              <w:right w:val="nil"/>
            </w:tcBorders>
            <w:noWrap/>
            <w:vAlign w:val="center"/>
            <w:hideMark/>
          </w:tcPr>
          <w:p w14:paraId="4D43F4B8" w14:textId="77777777" w:rsidR="00435389" w:rsidRPr="00435389" w:rsidRDefault="00435389" w:rsidP="00435389">
            <w:pPr>
              <w:spacing w:after="0" w:line="240" w:lineRule="auto"/>
              <w:jc w:val="center"/>
              <w:rPr>
                <w:rFonts w:ascii="Arial" w:eastAsia="Times New Roman" w:hAnsi="Arial" w:cs="Arial"/>
                <w:color w:val="000000"/>
                <w:kern w:val="0"/>
                <w:sz w:val="20"/>
                <w:szCs w:val="20"/>
                <w:lang w:eastAsia="en-GB"/>
                <w14:ligatures w14:val="none"/>
              </w:rPr>
            </w:pPr>
            <w:r w:rsidRPr="00435389">
              <w:rPr>
                <w:rFonts w:ascii="Arial" w:eastAsia="Times New Roman" w:hAnsi="Arial" w:cs="Arial"/>
                <w:color w:val="000000"/>
                <w:kern w:val="0"/>
                <w:sz w:val="20"/>
                <w:szCs w:val="20"/>
                <w:lang w:eastAsia="en-GB"/>
                <w14:ligatures w14:val="none"/>
              </w:rPr>
              <w:t>1.39 – 3.22</w:t>
            </w:r>
          </w:p>
        </w:tc>
        <w:tc>
          <w:tcPr>
            <w:tcW w:w="960" w:type="dxa"/>
            <w:tcBorders>
              <w:top w:val="nil"/>
              <w:left w:val="nil"/>
              <w:bottom w:val="nil"/>
              <w:right w:val="nil"/>
            </w:tcBorders>
            <w:noWrap/>
            <w:vAlign w:val="center"/>
            <w:hideMark/>
          </w:tcPr>
          <w:p w14:paraId="43101794" w14:textId="77777777" w:rsidR="00435389" w:rsidRPr="00435389" w:rsidRDefault="00435389" w:rsidP="00435389">
            <w:pPr>
              <w:spacing w:after="0" w:line="240" w:lineRule="auto"/>
              <w:jc w:val="center"/>
              <w:rPr>
                <w:rFonts w:ascii="Arial" w:eastAsia="Times New Roman" w:hAnsi="Arial" w:cs="Arial"/>
                <w:color w:val="000000"/>
                <w:kern w:val="0"/>
                <w:sz w:val="20"/>
                <w:szCs w:val="20"/>
                <w:lang w:eastAsia="en-GB"/>
                <w14:ligatures w14:val="none"/>
              </w:rPr>
            </w:pPr>
            <w:r w:rsidRPr="00435389">
              <w:rPr>
                <w:rFonts w:ascii="Arial" w:eastAsia="Times New Roman" w:hAnsi="Arial" w:cs="Arial"/>
                <w:color w:val="000000"/>
                <w:kern w:val="0"/>
                <w:sz w:val="20"/>
                <w:szCs w:val="20"/>
                <w:lang w:eastAsia="en-GB"/>
                <w14:ligatures w14:val="none"/>
              </w:rPr>
              <w:t>0.001</w:t>
            </w:r>
          </w:p>
        </w:tc>
      </w:tr>
      <w:tr w:rsidR="00435389" w:rsidRPr="00435389" w14:paraId="68727FE2" w14:textId="77777777" w:rsidTr="00A01A22">
        <w:trPr>
          <w:trHeight w:val="63"/>
          <w:jc w:val="center"/>
        </w:trPr>
        <w:tc>
          <w:tcPr>
            <w:tcW w:w="1361" w:type="dxa"/>
            <w:tcBorders>
              <w:top w:val="nil"/>
              <w:left w:val="nil"/>
              <w:bottom w:val="single" w:sz="4" w:space="0" w:color="auto"/>
              <w:right w:val="nil"/>
            </w:tcBorders>
            <w:noWrap/>
            <w:vAlign w:val="center"/>
            <w:hideMark/>
          </w:tcPr>
          <w:p w14:paraId="58A1E737" w14:textId="77777777" w:rsidR="00435389" w:rsidRPr="00435389" w:rsidRDefault="00435389" w:rsidP="00435389">
            <w:pPr>
              <w:spacing w:after="0" w:line="240" w:lineRule="auto"/>
              <w:rPr>
                <w:rFonts w:ascii="Arial" w:eastAsia="Times New Roman" w:hAnsi="Arial" w:cs="Arial"/>
                <w:color w:val="000000"/>
                <w:kern w:val="0"/>
                <w:sz w:val="20"/>
                <w:szCs w:val="20"/>
                <w:lang w:eastAsia="en-GB"/>
                <w14:ligatures w14:val="none"/>
              </w:rPr>
            </w:pPr>
            <w:r w:rsidRPr="00435389">
              <w:rPr>
                <w:rFonts w:ascii="Arial" w:eastAsia="Times New Roman" w:hAnsi="Arial" w:cs="Arial"/>
                <w:color w:val="000000"/>
                <w:kern w:val="0"/>
                <w:sz w:val="20"/>
                <w:szCs w:val="20"/>
                <w:lang w:eastAsia="en-GB"/>
                <w14:ligatures w14:val="none"/>
              </w:rPr>
              <w:t>Copeptin</w:t>
            </w:r>
          </w:p>
        </w:tc>
        <w:tc>
          <w:tcPr>
            <w:tcW w:w="960" w:type="dxa"/>
            <w:tcBorders>
              <w:top w:val="nil"/>
              <w:left w:val="nil"/>
              <w:bottom w:val="single" w:sz="4" w:space="0" w:color="auto"/>
              <w:right w:val="nil"/>
            </w:tcBorders>
            <w:noWrap/>
            <w:vAlign w:val="center"/>
            <w:hideMark/>
          </w:tcPr>
          <w:p w14:paraId="563019AC" w14:textId="77777777" w:rsidR="00435389" w:rsidRPr="00435389" w:rsidRDefault="00435389" w:rsidP="00435389">
            <w:pPr>
              <w:spacing w:after="0" w:line="240" w:lineRule="auto"/>
              <w:jc w:val="center"/>
              <w:rPr>
                <w:rFonts w:ascii="Arial" w:eastAsia="Times New Roman" w:hAnsi="Arial" w:cs="Arial"/>
                <w:color w:val="000000"/>
                <w:kern w:val="0"/>
                <w:sz w:val="20"/>
                <w:szCs w:val="20"/>
                <w:lang w:eastAsia="en-GB"/>
                <w14:ligatures w14:val="none"/>
              </w:rPr>
            </w:pPr>
            <w:r w:rsidRPr="00435389">
              <w:rPr>
                <w:rFonts w:ascii="Arial" w:eastAsia="Times New Roman" w:hAnsi="Arial" w:cs="Arial"/>
                <w:color w:val="000000"/>
                <w:kern w:val="0"/>
                <w:sz w:val="20"/>
                <w:szCs w:val="20"/>
                <w:lang w:eastAsia="en-GB"/>
                <w14:ligatures w14:val="none"/>
              </w:rPr>
              <w:t>0.007</w:t>
            </w:r>
          </w:p>
        </w:tc>
        <w:tc>
          <w:tcPr>
            <w:tcW w:w="960" w:type="dxa"/>
            <w:tcBorders>
              <w:top w:val="nil"/>
              <w:left w:val="nil"/>
              <w:bottom w:val="single" w:sz="4" w:space="0" w:color="auto"/>
              <w:right w:val="nil"/>
            </w:tcBorders>
            <w:noWrap/>
            <w:vAlign w:val="center"/>
            <w:hideMark/>
          </w:tcPr>
          <w:p w14:paraId="0E55BC85" w14:textId="77777777" w:rsidR="00435389" w:rsidRPr="00435389" w:rsidRDefault="00435389" w:rsidP="00435389">
            <w:pPr>
              <w:spacing w:after="0" w:line="240" w:lineRule="auto"/>
              <w:jc w:val="center"/>
              <w:rPr>
                <w:rFonts w:ascii="Arial" w:eastAsia="Times New Roman" w:hAnsi="Arial" w:cs="Arial"/>
                <w:color w:val="000000"/>
                <w:kern w:val="0"/>
                <w:sz w:val="20"/>
                <w:szCs w:val="20"/>
                <w:lang w:eastAsia="en-GB"/>
                <w14:ligatures w14:val="none"/>
              </w:rPr>
            </w:pPr>
            <w:r w:rsidRPr="00435389">
              <w:rPr>
                <w:rFonts w:ascii="Arial" w:eastAsia="Times New Roman" w:hAnsi="Arial" w:cs="Arial"/>
                <w:color w:val="000000"/>
                <w:kern w:val="0"/>
                <w:sz w:val="20"/>
                <w:szCs w:val="20"/>
                <w:lang w:eastAsia="en-GB"/>
                <w14:ligatures w14:val="none"/>
              </w:rPr>
              <w:t>0.249</w:t>
            </w:r>
          </w:p>
        </w:tc>
        <w:tc>
          <w:tcPr>
            <w:tcW w:w="1883" w:type="dxa"/>
            <w:tcBorders>
              <w:top w:val="nil"/>
              <w:left w:val="nil"/>
              <w:bottom w:val="single" w:sz="4" w:space="0" w:color="auto"/>
              <w:right w:val="nil"/>
            </w:tcBorders>
            <w:noWrap/>
            <w:vAlign w:val="center"/>
            <w:hideMark/>
          </w:tcPr>
          <w:p w14:paraId="0A2DF66A" w14:textId="77777777" w:rsidR="00435389" w:rsidRPr="00435389" w:rsidRDefault="00435389" w:rsidP="00435389">
            <w:pPr>
              <w:spacing w:after="0" w:line="240" w:lineRule="auto"/>
              <w:jc w:val="center"/>
              <w:rPr>
                <w:rFonts w:ascii="Arial" w:eastAsia="Times New Roman" w:hAnsi="Arial" w:cs="Arial"/>
                <w:color w:val="000000"/>
                <w:kern w:val="0"/>
                <w:sz w:val="20"/>
                <w:szCs w:val="20"/>
                <w:lang w:eastAsia="en-GB"/>
                <w14:ligatures w14:val="none"/>
              </w:rPr>
            </w:pPr>
            <w:r w:rsidRPr="00435389">
              <w:rPr>
                <w:rFonts w:ascii="Arial" w:eastAsia="Times New Roman" w:hAnsi="Arial" w:cs="Arial"/>
                <w:color w:val="000000"/>
                <w:kern w:val="0"/>
                <w:sz w:val="20"/>
                <w:szCs w:val="20"/>
                <w:lang w:eastAsia="en-GB"/>
                <w14:ligatures w14:val="none"/>
              </w:rPr>
              <w:t>0.99</w:t>
            </w:r>
          </w:p>
        </w:tc>
        <w:tc>
          <w:tcPr>
            <w:tcW w:w="1661" w:type="dxa"/>
            <w:tcBorders>
              <w:top w:val="nil"/>
              <w:left w:val="nil"/>
              <w:bottom w:val="single" w:sz="4" w:space="0" w:color="auto"/>
              <w:right w:val="nil"/>
            </w:tcBorders>
            <w:noWrap/>
            <w:vAlign w:val="center"/>
            <w:hideMark/>
          </w:tcPr>
          <w:p w14:paraId="2052E78C" w14:textId="77777777" w:rsidR="00435389" w:rsidRPr="00435389" w:rsidRDefault="00435389" w:rsidP="00435389">
            <w:pPr>
              <w:spacing w:after="0" w:line="240" w:lineRule="auto"/>
              <w:jc w:val="center"/>
              <w:rPr>
                <w:rFonts w:ascii="Arial" w:eastAsia="Times New Roman" w:hAnsi="Arial" w:cs="Arial"/>
                <w:color w:val="000000"/>
                <w:kern w:val="0"/>
                <w:sz w:val="20"/>
                <w:szCs w:val="20"/>
                <w:lang w:eastAsia="en-GB"/>
                <w14:ligatures w14:val="none"/>
              </w:rPr>
            </w:pPr>
            <w:r w:rsidRPr="00435389">
              <w:rPr>
                <w:rFonts w:ascii="Arial" w:eastAsia="Times New Roman" w:hAnsi="Arial" w:cs="Arial"/>
                <w:color w:val="000000"/>
                <w:kern w:val="0"/>
                <w:sz w:val="20"/>
                <w:szCs w:val="20"/>
                <w:lang w:eastAsia="en-GB"/>
                <w14:ligatures w14:val="none"/>
              </w:rPr>
              <w:t>0.61 – 1.62</w:t>
            </w:r>
          </w:p>
        </w:tc>
        <w:tc>
          <w:tcPr>
            <w:tcW w:w="960" w:type="dxa"/>
            <w:tcBorders>
              <w:top w:val="nil"/>
              <w:left w:val="nil"/>
              <w:bottom w:val="single" w:sz="4" w:space="0" w:color="auto"/>
              <w:right w:val="nil"/>
            </w:tcBorders>
            <w:noWrap/>
            <w:vAlign w:val="center"/>
            <w:hideMark/>
          </w:tcPr>
          <w:p w14:paraId="2789B1B0" w14:textId="77777777" w:rsidR="00435389" w:rsidRPr="00435389" w:rsidRDefault="00435389" w:rsidP="00435389">
            <w:pPr>
              <w:spacing w:after="0" w:line="240" w:lineRule="auto"/>
              <w:jc w:val="center"/>
              <w:rPr>
                <w:rFonts w:ascii="Arial" w:eastAsia="Times New Roman" w:hAnsi="Arial" w:cs="Arial"/>
                <w:color w:val="000000"/>
                <w:kern w:val="0"/>
                <w:sz w:val="20"/>
                <w:szCs w:val="20"/>
                <w:lang w:eastAsia="en-GB"/>
                <w14:ligatures w14:val="none"/>
              </w:rPr>
            </w:pPr>
            <w:r w:rsidRPr="00435389">
              <w:rPr>
                <w:rFonts w:ascii="Arial" w:eastAsia="Times New Roman" w:hAnsi="Arial" w:cs="Arial"/>
                <w:color w:val="000000"/>
                <w:kern w:val="0"/>
                <w:sz w:val="20"/>
                <w:szCs w:val="20"/>
                <w:lang w:eastAsia="en-GB"/>
                <w14:ligatures w14:val="none"/>
              </w:rPr>
              <w:t>0.87</w:t>
            </w:r>
          </w:p>
        </w:tc>
      </w:tr>
    </w:tbl>
    <w:p w14:paraId="3B4ADE0C" w14:textId="3A766B00" w:rsidR="00D73BFC" w:rsidRPr="00EB4694" w:rsidRDefault="003F2FD1" w:rsidP="003F2FD1">
      <w:pPr>
        <w:spacing w:after="0" w:line="240" w:lineRule="auto"/>
        <w:jc w:val="center"/>
        <w:rPr>
          <w:rFonts w:ascii="Arial" w:eastAsia="Times New Roman" w:hAnsi="Arial" w:cs="Arial"/>
          <w:kern w:val="0"/>
          <w:sz w:val="20"/>
          <w:szCs w:val="20"/>
          <w:lang w:eastAsia="en-GB"/>
          <w14:ligatures w14:val="none"/>
        </w:rPr>
      </w:pPr>
      <w:r w:rsidRPr="00EB4694">
        <w:rPr>
          <w:rFonts w:ascii="Arial" w:eastAsia="Times New Roman" w:hAnsi="Arial" w:cs="Arial"/>
          <w:kern w:val="0"/>
          <w:sz w:val="20"/>
          <w:szCs w:val="20"/>
          <w:lang w:eastAsia="en-GB"/>
          <w14:ligatures w14:val="none"/>
        </w:rPr>
        <w:t>*SE = standard error; CI = confidence interval. Dependent variable: severity of systolic dysfunction (mild, moderate, severe as ordinal categories). Proportional odds assumption met (p&gt;0.05).*</w:t>
      </w:r>
    </w:p>
    <w:p w14:paraId="06BCCFB1" w14:textId="77777777" w:rsidR="009C7E0E" w:rsidRPr="00EB4694" w:rsidRDefault="009C7E0E" w:rsidP="00EC7F67">
      <w:pPr>
        <w:spacing w:after="0" w:line="240" w:lineRule="auto"/>
        <w:jc w:val="both"/>
        <w:rPr>
          <w:rFonts w:ascii="Arial" w:eastAsia="Times New Roman" w:hAnsi="Arial" w:cs="Arial"/>
          <w:kern w:val="0"/>
          <w:sz w:val="22"/>
          <w:szCs w:val="22"/>
          <w:lang w:eastAsia="en-GB"/>
          <w14:ligatures w14:val="none"/>
        </w:rPr>
      </w:pPr>
    </w:p>
    <w:p w14:paraId="6C966E42" w14:textId="77777777" w:rsidR="001659D7" w:rsidRDefault="001659D7" w:rsidP="00EC7F67">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sectPr w:rsidR="001659D7" w:rsidSect="001659D7">
          <w:type w:val="continuous"/>
          <w:pgSz w:w="11906" w:h="16838"/>
          <w:pgMar w:top="1440" w:right="1440" w:bottom="1440" w:left="1440" w:header="720" w:footer="720" w:gutter="0"/>
          <w:cols w:space="720"/>
          <w:docGrid w:linePitch="360"/>
        </w:sectPr>
      </w:pPr>
    </w:p>
    <w:p w14:paraId="423557BD" w14:textId="77777777" w:rsidR="00D73BFC" w:rsidRPr="00EC7F67" w:rsidRDefault="00D73BFC" w:rsidP="00EC7F67">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EC7F67">
        <w:rPr>
          <w:rFonts w:ascii="Arial" w:eastAsia="Times New Roman" w:hAnsi="Arial" w:cs="Arial"/>
          <w:b/>
          <w:bCs/>
          <w:color w:val="0F1115"/>
          <w:kern w:val="0"/>
          <w:sz w:val="20"/>
          <w:szCs w:val="20"/>
          <w:lang w:eastAsia="en-GB"/>
          <w14:ligatures w14:val="none"/>
        </w:rPr>
        <w:t>Discussion</w:t>
      </w:r>
    </w:p>
    <w:p w14:paraId="1373BE49" w14:textId="7B89D8F8"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This study confirms the significant roles of NT</w:t>
      </w:r>
      <w:r w:rsidRPr="00EC7F67">
        <w:rPr>
          <w:rFonts w:ascii="Arial" w:eastAsia="Times New Roman" w:hAnsi="Arial" w:cs="Arial"/>
          <w:color w:val="0F1115"/>
          <w:kern w:val="0"/>
          <w:sz w:val="20"/>
          <w:szCs w:val="20"/>
          <w:lang w:eastAsia="en-GB"/>
          <w14:ligatures w14:val="none"/>
        </w:rPr>
        <w:noBreakHyphen/>
        <w:t xml:space="preserve">proBNP and copeptin in the pathophysiology of HF in a cohort from Babylon Governorate, Iraq. </w:t>
      </w:r>
      <w:r w:rsidR="00724957" w:rsidRPr="00724957">
        <w:rPr>
          <w:rFonts w:ascii="Arial" w:eastAsia="Times New Roman" w:hAnsi="Arial" w:cs="Arial"/>
          <w:color w:val="0F1115"/>
          <w:kern w:val="0"/>
          <w:sz w:val="20"/>
          <w:szCs w:val="20"/>
          <w:lang w:eastAsia="en-GB"/>
          <w14:ligatures w14:val="none"/>
        </w:rPr>
        <w:t>Our results indicate that patients with HF exhibit markedly higher levels of these biomarkers compared with healthy controls. Lipid profiling showed significantly higher total cholesterol, triglycerides, and HDL</w:t>
      </w:r>
      <w:r w:rsidR="00724957" w:rsidRPr="00724957">
        <w:rPr>
          <w:rFonts w:ascii="Cambria Math" w:eastAsia="Times New Roman" w:hAnsi="Cambria Math" w:cs="Cambria Math"/>
          <w:color w:val="0F1115"/>
          <w:kern w:val="0"/>
          <w:sz w:val="20"/>
          <w:szCs w:val="20"/>
          <w:lang w:eastAsia="en-GB"/>
          <w14:ligatures w14:val="none"/>
        </w:rPr>
        <w:t>‑</w:t>
      </w:r>
      <w:r w:rsidR="00724957" w:rsidRPr="00724957">
        <w:rPr>
          <w:rFonts w:ascii="Arial" w:eastAsia="Times New Roman" w:hAnsi="Arial" w:cs="Arial"/>
          <w:color w:val="0F1115"/>
          <w:kern w:val="0"/>
          <w:sz w:val="20"/>
          <w:szCs w:val="20"/>
          <w:lang w:eastAsia="en-GB"/>
          <w14:ligatures w14:val="none"/>
        </w:rPr>
        <w:t>C in HF patients than in controls, with recalculated VLDL and LDL also higher in the HF group. However, the control group’s lipid values were unexpectedly low, particularly HDL</w:t>
      </w:r>
      <w:r w:rsidR="00724957" w:rsidRPr="00724957">
        <w:rPr>
          <w:rFonts w:ascii="Cambria Math" w:eastAsia="Times New Roman" w:hAnsi="Cambria Math" w:cs="Cambria Math"/>
          <w:color w:val="0F1115"/>
          <w:kern w:val="0"/>
          <w:sz w:val="20"/>
          <w:szCs w:val="20"/>
          <w:lang w:eastAsia="en-GB"/>
          <w14:ligatures w14:val="none"/>
        </w:rPr>
        <w:t>‑</w:t>
      </w:r>
      <w:r w:rsidR="00724957" w:rsidRPr="00724957">
        <w:rPr>
          <w:rFonts w:ascii="Arial" w:eastAsia="Times New Roman" w:hAnsi="Arial" w:cs="Arial"/>
          <w:color w:val="0F1115"/>
          <w:kern w:val="0"/>
          <w:sz w:val="20"/>
          <w:szCs w:val="20"/>
          <w:lang w:eastAsia="en-GB"/>
          <w14:ligatures w14:val="none"/>
        </w:rPr>
        <w:t>C (24.8 mg/dL); this may be due to a laboratory calibration issue or a specific dietary pattern in the local healthy population, and these lipid findings should be interpreted with caution</w:t>
      </w:r>
      <w:r w:rsidRPr="00EC7F67">
        <w:rPr>
          <w:rFonts w:ascii="Arial" w:eastAsia="Times New Roman" w:hAnsi="Arial" w:cs="Arial"/>
          <w:color w:val="0F1115"/>
          <w:kern w:val="0"/>
          <w:sz w:val="20"/>
          <w:szCs w:val="20"/>
          <w:lang w:eastAsia="en-GB"/>
          <w14:ligatures w14:val="none"/>
        </w:rPr>
        <w:t>. Both NT</w:t>
      </w:r>
      <w:r w:rsidRPr="00EC7F67">
        <w:rPr>
          <w:rFonts w:ascii="Arial" w:eastAsia="Times New Roman" w:hAnsi="Arial" w:cs="Arial"/>
          <w:color w:val="0F1115"/>
          <w:kern w:val="0"/>
          <w:sz w:val="20"/>
          <w:szCs w:val="20"/>
          <w:lang w:eastAsia="en-GB"/>
          <w14:ligatures w14:val="none"/>
        </w:rPr>
        <w:noBreakHyphen/>
        <w:t>proBNP and copeptin demonstrated good diagnostic potential, with AUC values of 0.87 and 0.84</w:t>
      </w:r>
      <w:r w:rsidR="009C7E0E">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respectively. Importantly, binary logistic regression identified both biomarkers as significant independent predictors of HF, supporting their complementary diagnostic relevance. However, ordinal logistic regression examining systolic dysfunction severity revealed that only NT</w:t>
      </w:r>
      <w:r w:rsidRPr="00EC7F67">
        <w:rPr>
          <w:rFonts w:ascii="Arial" w:eastAsia="Times New Roman" w:hAnsi="Arial" w:cs="Arial"/>
          <w:color w:val="0F1115"/>
          <w:kern w:val="0"/>
          <w:sz w:val="20"/>
          <w:szCs w:val="20"/>
          <w:lang w:eastAsia="en-GB"/>
          <w14:ligatures w14:val="none"/>
        </w:rPr>
        <w:noBreakHyphen/>
        <w:t>proBNP retained a significant association, suggesting that these two markers reflect different dimensions of the HF syndrome.</w:t>
      </w:r>
    </w:p>
    <w:p w14:paraId="6C61CF69" w14:textId="77777777" w:rsidR="009C7E0E" w:rsidRPr="00EC7F67" w:rsidRDefault="009C7E0E"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A57BB14" w14:textId="77777777" w:rsidR="00D73BFC" w:rsidRPr="009C7E0E"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9C7E0E">
        <w:rPr>
          <w:rFonts w:ascii="Arial" w:eastAsia="Times New Roman" w:hAnsi="Arial" w:cs="Arial"/>
          <w:i/>
          <w:iCs/>
          <w:color w:val="0F1115"/>
          <w:kern w:val="0"/>
          <w:sz w:val="20"/>
          <w:szCs w:val="20"/>
          <w:lang w:eastAsia="en-GB"/>
          <w14:ligatures w14:val="none"/>
        </w:rPr>
        <w:t>NT</w:t>
      </w:r>
      <w:r w:rsidRPr="009C7E0E">
        <w:rPr>
          <w:rFonts w:ascii="Arial" w:eastAsia="Times New Roman" w:hAnsi="Arial" w:cs="Arial"/>
          <w:i/>
          <w:iCs/>
          <w:color w:val="0F1115"/>
          <w:kern w:val="0"/>
          <w:sz w:val="20"/>
          <w:szCs w:val="20"/>
          <w:lang w:eastAsia="en-GB"/>
          <w14:ligatures w14:val="none"/>
        </w:rPr>
        <w:noBreakHyphen/>
        <w:t>proBNP: specificity and severity tracking</w:t>
      </w:r>
    </w:p>
    <w:p w14:paraId="72B0CFD2" w14:textId="1318AB2E"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The elevated NT</w:t>
      </w:r>
      <w:r w:rsidRPr="00EC7F67">
        <w:rPr>
          <w:rFonts w:ascii="Arial" w:eastAsia="Times New Roman" w:hAnsi="Arial" w:cs="Arial"/>
          <w:color w:val="0F1115"/>
          <w:kern w:val="0"/>
          <w:sz w:val="20"/>
          <w:szCs w:val="20"/>
          <w:lang w:eastAsia="en-GB"/>
          <w14:ligatures w14:val="none"/>
        </w:rPr>
        <w:noBreakHyphen/>
        <w:t>proBNP levels observed in our HF patients are explained by myocardial wall stress resulting from pressure and volume overload. NT</w:t>
      </w:r>
      <w:r w:rsidRPr="00EC7F67">
        <w:rPr>
          <w:rFonts w:ascii="Arial" w:eastAsia="Times New Roman" w:hAnsi="Arial" w:cs="Arial"/>
          <w:color w:val="0F1115"/>
          <w:kern w:val="0"/>
          <w:sz w:val="20"/>
          <w:szCs w:val="20"/>
          <w:lang w:eastAsia="en-GB"/>
          <w14:ligatures w14:val="none"/>
        </w:rPr>
        <w:noBreakHyphen/>
        <w:t>proBNP is released from ventricular cardiomyocytes in response to myocardial stretching caused by elevated intra</w:t>
      </w:r>
      <w:r w:rsidRPr="00EC7F67">
        <w:rPr>
          <w:rFonts w:ascii="Arial" w:eastAsia="Times New Roman" w:hAnsi="Arial" w:cs="Arial"/>
          <w:color w:val="0F1115"/>
          <w:kern w:val="0"/>
          <w:sz w:val="20"/>
          <w:szCs w:val="20"/>
          <w:lang w:eastAsia="en-GB"/>
          <w14:ligatures w14:val="none"/>
        </w:rPr>
        <w:noBreakHyphen/>
        <w:t xml:space="preserve">cardiac filling pressure and ventricular dysfunction. This mechanism makes natriuretic peptides essential biomarkers reflecting both cardiac dysfunction and haemodynamic stress in HF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_Ref229570369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15</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w:t>
      </w:r>
    </w:p>
    <w:p w14:paraId="0421982A" w14:textId="1C00AD9C"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At the selected cut</w:t>
      </w:r>
      <w:r w:rsidRPr="00EC7F67">
        <w:rPr>
          <w:rFonts w:ascii="Arial" w:eastAsia="Times New Roman" w:hAnsi="Arial" w:cs="Arial"/>
          <w:color w:val="0F1115"/>
          <w:kern w:val="0"/>
          <w:sz w:val="20"/>
          <w:szCs w:val="20"/>
          <w:lang w:eastAsia="en-GB"/>
          <w14:ligatures w14:val="none"/>
        </w:rPr>
        <w:noBreakHyphen/>
        <w:t>off value (5.99 ng/mL), NT</w:t>
      </w:r>
      <w:r w:rsidRPr="00EC7F67">
        <w:rPr>
          <w:rFonts w:ascii="Arial" w:eastAsia="Times New Roman" w:hAnsi="Arial" w:cs="Arial"/>
          <w:color w:val="0F1115"/>
          <w:kern w:val="0"/>
          <w:sz w:val="20"/>
          <w:szCs w:val="20"/>
          <w:lang w:eastAsia="en-GB"/>
          <w14:ligatures w14:val="none"/>
        </w:rPr>
        <w:noBreakHyphen/>
        <w:t>proBNP demonstrated remarkably high specificity (99.0%) and positive predictive value (100%), indicating a strong ability to correctly identify true positive cases and effectively confirm the presence of HF. This high specificity supports its role as a reliable “rule</w:t>
      </w:r>
      <w:r w:rsidRPr="00EC7F67">
        <w:rPr>
          <w:rFonts w:ascii="Arial" w:eastAsia="Times New Roman" w:hAnsi="Arial" w:cs="Arial"/>
          <w:color w:val="0F1115"/>
          <w:kern w:val="0"/>
          <w:sz w:val="20"/>
          <w:szCs w:val="20"/>
          <w:lang w:eastAsia="en-GB"/>
          <w14:ligatures w14:val="none"/>
        </w:rPr>
        <w:noBreakHyphen/>
        <w:t xml:space="preserve">in” biomarker in clinical practice. These observations align with previous studies that have consistently reported high specificity of natriuretic peptides, particularly in patients with overt or advanced HF </w:t>
      </w:r>
      <w:r w:rsidR="00647E1D" w:rsidRPr="00647E1D">
        <w:rPr>
          <w:rFonts w:ascii="Arial" w:eastAsia="Times New Roman" w:hAnsi="Arial" w:cs="Arial"/>
          <w:color w:val="0000FF"/>
          <w:kern w:val="0"/>
          <w:sz w:val="20"/>
          <w:szCs w:val="20"/>
          <w:lang w:eastAsia="en-GB"/>
          <w14:ligatures w14:val="none"/>
        </w:rPr>
        <w:t>(</w:t>
      </w:r>
      <w:r w:rsidR="00901D8F">
        <w:rPr>
          <w:rFonts w:ascii="Arial" w:eastAsia="Times New Roman" w:hAnsi="Arial" w:cs="Arial"/>
          <w:color w:val="0000FF"/>
          <w:kern w:val="0"/>
          <w:sz w:val="20"/>
          <w:szCs w:val="20"/>
          <w:lang w:eastAsia="en-GB"/>
          <w14:ligatures w14:val="none"/>
        </w:rPr>
        <w:fldChar w:fldCharType="begin"/>
      </w:r>
      <w:r w:rsidR="00901D8F">
        <w:rPr>
          <w:rFonts w:ascii="Arial" w:eastAsia="Times New Roman" w:hAnsi="Arial" w:cs="Arial"/>
          <w:color w:val="0000FF"/>
          <w:kern w:val="0"/>
          <w:sz w:val="20"/>
          <w:szCs w:val="20"/>
          <w:lang w:eastAsia="en-GB"/>
          <w14:ligatures w14:val="none"/>
        </w:rPr>
        <w:instrText xml:space="preserve"> REF _Ref229581478 \r \h </w:instrText>
      </w:r>
      <w:r w:rsidR="00901D8F">
        <w:rPr>
          <w:rFonts w:ascii="Arial" w:eastAsia="Times New Roman" w:hAnsi="Arial" w:cs="Arial"/>
          <w:color w:val="0000FF"/>
          <w:kern w:val="0"/>
          <w:sz w:val="20"/>
          <w:szCs w:val="20"/>
          <w:lang w:eastAsia="en-GB"/>
          <w14:ligatures w14:val="none"/>
        </w:rPr>
      </w:r>
      <w:r w:rsidR="00901D8F">
        <w:rPr>
          <w:rFonts w:ascii="Arial" w:eastAsia="Times New Roman" w:hAnsi="Arial" w:cs="Arial"/>
          <w:color w:val="0000FF"/>
          <w:kern w:val="0"/>
          <w:sz w:val="20"/>
          <w:szCs w:val="20"/>
          <w:lang w:eastAsia="en-GB"/>
          <w14:ligatures w14:val="none"/>
        </w:rPr>
        <w:fldChar w:fldCharType="separate"/>
      </w:r>
      <w:r w:rsidR="00901D8F">
        <w:rPr>
          <w:rFonts w:ascii="Arial" w:eastAsia="Times New Roman" w:hAnsi="Arial" w:cs="Arial"/>
          <w:color w:val="0000FF"/>
          <w:kern w:val="0"/>
          <w:sz w:val="20"/>
          <w:szCs w:val="20"/>
          <w:lang w:eastAsia="en-GB"/>
          <w14:ligatures w14:val="none"/>
        </w:rPr>
        <w:t>16</w:t>
      </w:r>
      <w:r w:rsidR="00901D8F">
        <w:rPr>
          <w:rFonts w:ascii="Arial" w:eastAsia="Times New Roman" w:hAnsi="Arial" w:cs="Arial"/>
          <w:color w:val="0000FF"/>
          <w:kern w:val="0"/>
          <w:sz w:val="20"/>
          <w:szCs w:val="20"/>
          <w:lang w:eastAsia="en-GB"/>
          <w14:ligatures w14:val="none"/>
        </w:rPr>
        <w:fldChar w:fldCharType="end"/>
      </w:r>
      <w:r w:rsidRPr="00647E1D">
        <w:rPr>
          <w:rFonts w:ascii="Arial" w:eastAsia="Times New Roman" w:hAnsi="Arial" w:cs="Arial"/>
          <w:color w:val="0000FF"/>
          <w:kern w:val="0"/>
          <w:sz w:val="20"/>
          <w:szCs w:val="20"/>
          <w:lang w:eastAsia="en-GB"/>
          <w14:ligatures w14:val="none"/>
        </w:rPr>
        <w:t>,</w:t>
      </w:r>
      <w:r w:rsidR="00647E1D" w:rsidRPr="00647E1D">
        <w:rPr>
          <w:rFonts w:ascii="Arial" w:eastAsia="Times New Roman" w:hAnsi="Arial" w:cs="Arial"/>
          <w:color w:val="0000FF"/>
          <w:kern w:val="0"/>
          <w:sz w:val="20"/>
          <w:szCs w:val="20"/>
          <w:lang w:eastAsia="en-GB"/>
          <w14:ligatures w14:val="none"/>
        </w:rPr>
        <w:t xml:space="preserve"> </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_Ref229570379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17</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However, the sensitivity of NT</w:t>
      </w:r>
      <w:r w:rsidRPr="00EC7F67">
        <w:rPr>
          <w:rFonts w:ascii="Arial" w:eastAsia="Times New Roman" w:hAnsi="Arial" w:cs="Arial"/>
          <w:color w:val="0F1115"/>
          <w:kern w:val="0"/>
          <w:sz w:val="20"/>
          <w:szCs w:val="20"/>
          <w:lang w:eastAsia="en-GB"/>
          <w14:ligatures w14:val="none"/>
        </w:rPr>
        <w:noBreakHyphen/>
        <w:t xml:space="preserve">proBNP was relatively moderate (64.0%), suggesting that </w:t>
      </w:r>
      <w:r w:rsidRPr="00EC7F67">
        <w:rPr>
          <w:rFonts w:ascii="Arial" w:eastAsia="Times New Roman" w:hAnsi="Arial" w:cs="Arial"/>
          <w:color w:val="0F1115"/>
          <w:kern w:val="0"/>
          <w:sz w:val="20"/>
          <w:szCs w:val="20"/>
          <w:lang w:eastAsia="en-GB"/>
          <w14:ligatures w14:val="none"/>
        </w:rPr>
        <w:t>some cases may be missed when relying solely on this marker. This limitation has been previously described and may be influenced by factors such as obesity, early</w:t>
      </w:r>
      <w:r w:rsidRPr="00EC7F67">
        <w:rPr>
          <w:rFonts w:ascii="Arial" w:eastAsia="Times New Roman" w:hAnsi="Arial" w:cs="Arial"/>
          <w:color w:val="0F1115"/>
          <w:kern w:val="0"/>
          <w:sz w:val="20"/>
          <w:szCs w:val="20"/>
          <w:lang w:eastAsia="en-GB"/>
          <w14:ligatures w14:val="none"/>
        </w:rPr>
        <w:noBreakHyphen/>
        <w:t>stage HF</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HF with preserved ejection fraction (HFpEF)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_Ref229570389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18</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Recent investigations further clarify that the diagnostic performance of NT</w:t>
      </w:r>
      <w:r w:rsidRPr="00EC7F67">
        <w:rPr>
          <w:rFonts w:ascii="Arial" w:eastAsia="Times New Roman" w:hAnsi="Arial" w:cs="Arial"/>
          <w:color w:val="0F1115"/>
          <w:kern w:val="0"/>
          <w:sz w:val="20"/>
          <w:szCs w:val="20"/>
          <w:lang w:eastAsia="en-GB"/>
          <w14:ligatures w14:val="none"/>
        </w:rPr>
        <w:noBreakHyphen/>
        <w:t xml:space="preserve">proBNP is highly dependent on the chosen threshold and patient demographics </w:t>
      </w:r>
      <w:r w:rsidR="00647E1D" w:rsidRPr="00647E1D">
        <w:rPr>
          <w:rFonts w:ascii="Arial" w:eastAsia="Times New Roman" w:hAnsi="Arial" w:cs="Arial"/>
          <w:color w:val="0000FF"/>
          <w:kern w:val="0"/>
          <w:sz w:val="20"/>
          <w:szCs w:val="20"/>
          <w:lang w:eastAsia="en-GB"/>
          <w14:ligatures w14:val="none"/>
        </w:rPr>
        <w:t>(</w:t>
      </w:r>
      <w:r w:rsidR="00901D8F">
        <w:rPr>
          <w:rFonts w:ascii="Arial" w:eastAsia="Times New Roman" w:hAnsi="Arial" w:cs="Arial"/>
          <w:color w:val="0000FF"/>
          <w:kern w:val="0"/>
          <w:sz w:val="20"/>
          <w:szCs w:val="20"/>
          <w:lang w:eastAsia="en-GB"/>
          <w14:ligatures w14:val="none"/>
        </w:rPr>
        <w:fldChar w:fldCharType="begin"/>
      </w:r>
      <w:r w:rsidR="00901D8F">
        <w:rPr>
          <w:rFonts w:ascii="Arial" w:eastAsia="Times New Roman" w:hAnsi="Arial" w:cs="Arial"/>
          <w:color w:val="0000FF"/>
          <w:kern w:val="0"/>
          <w:sz w:val="20"/>
          <w:szCs w:val="20"/>
          <w:lang w:eastAsia="en-GB"/>
          <w14:ligatures w14:val="none"/>
        </w:rPr>
        <w:instrText xml:space="preserve"> REF _Ref229581483 \r \h </w:instrText>
      </w:r>
      <w:r w:rsidR="00901D8F">
        <w:rPr>
          <w:rFonts w:ascii="Arial" w:eastAsia="Times New Roman" w:hAnsi="Arial" w:cs="Arial"/>
          <w:color w:val="0000FF"/>
          <w:kern w:val="0"/>
          <w:sz w:val="20"/>
          <w:szCs w:val="20"/>
          <w:lang w:eastAsia="en-GB"/>
          <w14:ligatures w14:val="none"/>
        </w:rPr>
      </w:r>
      <w:r w:rsidR="00901D8F">
        <w:rPr>
          <w:rFonts w:ascii="Arial" w:eastAsia="Times New Roman" w:hAnsi="Arial" w:cs="Arial"/>
          <w:color w:val="0000FF"/>
          <w:kern w:val="0"/>
          <w:sz w:val="20"/>
          <w:szCs w:val="20"/>
          <w:lang w:eastAsia="en-GB"/>
          <w14:ligatures w14:val="none"/>
        </w:rPr>
        <w:fldChar w:fldCharType="separate"/>
      </w:r>
      <w:r w:rsidR="00901D8F">
        <w:rPr>
          <w:rFonts w:ascii="Arial" w:eastAsia="Times New Roman" w:hAnsi="Arial" w:cs="Arial"/>
          <w:color w:val="0000FF"/>
          <w:kern w:val="0"/>
          <w:sz w:val="20"/>
          <w:szCs w:val="20"/>
          <w:lang w:eastAsia="en-GB"/>
          <w14:ligatures w14:val="none"/>
        </w:rPr>
        <w:t>19</w:t>
      </w:r>
      <w:r w:rsidR="00901D8F">
        <w:rPr>
          <w:rFonts w:ascii="Arial" w:eastAsia="Times New Roman" w:hAnsi="Arial" w:cs="Arial"/>
          <w:color w:val="0000FF"/>
          <w:kern w:val="0"/>
          <w:sz w:val="20"/>
          <w:szCs w:val="20"/>
          <w:lang w:eastAsia="en-GB"/>
          <w14:ligatures w14:val="none"/>
        </w:rPr>
        <w:fldChar w:fldCharType="end"/>
      </w:r>
      <w:r w:rsidRPr="00647E1D">
        <w:rPr>
          <w:rFonts w:ascii="Arial" w:eastAsia="Times New Roman" w:hAnsi="Arial" w:cs="Arial"/>
          <w:color w:val="0000FF"/>
          <w:kern w:val="0"/>
          <w:sz w:val="20"/>
          <w:szCs w:val="20"/>
          <w:lang w:eastAsia="en-GB"/>
          <w14:ligatures w14:val="none"/>
        </w:rPr>
        <w:t>,</w:t>
      </w:r>
      <w:r w:rsidR="00647E1D" w:rsidRPr="00647E1D">
        <w:rPr>
          <w:rFonts w:ascii="Arial" w:eastAsia="Times New Roman" w:hAnsi="Arial" w:cs="Arial"/>
          <w:color w:val="0000FF"/>
          <w:kern w:val="0"/>
          <w:sz w:val="20"/>
          <w:szCs w:val="20"/>
          <w:lang w:eastAsia="en-GB"/>
          <w14:ligatures w14:val="none"/>
        </w:rPr>
        <w:t xml:space="preserve"> </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_Ref229570427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20</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w:t>
      </w:r>
    </w:p>
    <w:p w14:paraId="3C95B270" w14:textId="77777777" w:rsidR="0078137C" w:rsidRPr="00EC7F67" w:rsidRDefault="0078137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7D733E4" w14:textId="77777777" w:rsidR="00D73BFC" w:rsidRPr="0078137C"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78137C">
        <w:rPr>
          <w:rFonts w:ascii="Arial" w:eastAsia="Times New Roman" w:hAnsi="Arial" w:cs="Arial"/>
          <w:i/>
          <w:iCs/>
          <w:color w:val="0F1115"/>
          <w:kern w:val="0"/>
          <w:sz w:val="20"/>
          <w:szCs w:val="20"/>
          <w:lang w:eastAsia="en-GB"/>
          <w14:ligatures w14:val="none"/>
        </w:rPr>
        <w:t>Copeptin: sensitivity to neurohormonal stress</w:t>
      </w:r>
    </w:p>
    <w:p w14:paraId="35EE60E2" w14:textId="733EA910"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In contrast, copeptin demonstrated higher sensitivity (81.9%) but lower specificity (74.0%), indicating a better ability to detect HF cases at the expense of increased false</w:t>
      </w:r>
      <w:r w:rsidRPr="00EC7F67">
        <w:rPr>
          <w:rFonts w:ascii="Arial" w:eastAsia="Times New Roman" w:hAnsi="Arial" w:cs="Arial"/>
          <w:color w:val="0F1115"/>
          <w:kern w:val="0"/>
          <w:sz w:val="20"/>
          <w:szCs w:val="20"/>
          <w:lang w:eastAsia="en-GB"/>
          <w14:ligatures w14:val="none"/>
        </w:rPr>
        <w:noBreakHyphen/>
        <w:t>positive results. This pattern reflects the biological nature of copeptin as a marker of systemic stress rather than cardiac</w:t>
      </w:r>
      <w:r w:rsidRPr="00EC7F67">
        <w:rPr>
          <w:rFonts w:ascii="Arial" w:eastAsia="Times New Roman" w:hAnsi="Arial" w:cs="Arial"/>
          <w:color w:val="0F1115"/>
          <w:kern w:val="0"/>
          <w:sz w:val="20"/>
          <w:szCs w:val="20"/>
          <w:lang w:eastAsia="en-GB"/>
          <w14:ligatures w14:val="none"/>
        </w:rPr>
        <w:noBreakHyphen/>
        <w:t xml:space="preserve">specific dysfunction </w:t>
      </w:r>
      <w:r w:rsidR="00647E1D" w:rsidRPr="00647E1D">
        <w:rPr>
          <w:rFonts w:ascii="Arial" w:eastAsia="Times New Roman" w:hAnsi="Arial" w:cs="Arial"/>
          <w:color w:val="0000FF"/>
          <w:kern w:val="0"/>
          <w:sz w:val="20"/>
          <w:szCs w:val="20"/>
          <w:lang w:eastAsia="en-GB"/>
          <w14:ligatures w14:val="none"/>
        </w:rPr>
        <w:t>(</w:t>
      </w:r>
      <w:r w:rsidR="00901D8F">
        <w:rPr>
          <w:rFonts w:ascii="Arial" w:eastAsia="Times New Roman" w:hAnsi="Arial" w:cs="Arial"/>
          <w:color w:val="0000FF"/>
          <w:kern w:val="0"/>
          <w:sz w:val="20"/>
          <w:szCs w:val="20"/>
          <w:lang w:eastAsia="en-GB"/>
          <w14:ligatures w14:val="none"/>
        </w:rPr>
        <w:fldChar w:fldCharType="begin"/>
      </w:r>
      <w:r w:rsidR="00901D8F">
        <w:rPr>
          <w:rFonts w:ascii="Arial" w:eastAsia="Times New Roman" w:hAnsi="Arial" w:cs="Arial"/>
          <w:color w:val="0000FF"/>
          <w:kern w:val="0"/>
          <w:sz w:val="20"/>
          <w:szCs w:val="20"/>
          <w:lang w:eastAsia="en-GB"/>
          <w14:ligatures w14:val="none"/>
        </w:rPr>
        <w:instrText xml:space="preserve"> REF _Ref229581497 \r \h </w:instrText>
      </w:r>
      <w:r w:rsidR="00901D8F">
        <w:rPr>
          <w:rFonts w:ascii="Arial" w:eastAsia="Times New Roman" w:hAnsi="Arial" w:cs="Arial"/>
          <w:color w:val="0000FF"/>
          <w:kern w:val="0"/>
          <w:sz w:val="20"/>
          <w:szCs w:val="20"/>
          <w:lang w:eastAsia="en-GB"/>
          <w14:ligatures w14:val="none"/>
        </w:rPr>
      </w:r>
      <w:r w:rsidR="00901D8F">
        <w:rPr>
          <w:rFonts w:ascii="Arial" w:eastAsia="Times New Roman" w:hAnsi="Arial" w:cs="Arial"/>
          <w:color w:val="0000FF"/>
          <w:kern w:val="0"/>
          <w:sz w:val="20"/>
          <w:szCs w:val="20"/>
          <w:lang w:eastAsia="en-GB"/>
          <w14:ligatures w14:val="none"/>
        </w:rPr>
        <w:fldChar w:fldCharType="separate"/>
      </w:r>
      <w:r w:rsidR="00901D8F">
        <w:rPr>
          <w:rFonts w:ascii="Arial" w:eastAsia="Times New Roman" w:hAnsi="Arial" w:cs="Arial"/>
          <w:color w:val="0000FF"/>
          <w:kern w:val="0"/>
          <w:sz w:val="20"/>
          <w:szCs w:val="20"/>
          <w:lang w:eastAsia="en-GB"/>
          <w14:ligatures w14:val="none"/>
        </w:rPr>
        <w:t>21</w:t>
      </w:r>
      <w:r w:rsidR="00901D8F">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Copeptin is a stable surrogate of arginine vasopressin and is released in response to haemodynamic instability, hypoperfusion</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osmotic imbalance — conditions that occur early in the course of HF and in a variety of other acute and chronic conditions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_Ref229570440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22</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Recent comprehensive reviews highlight copeptin’s utility as a reliable diagnostic and prognostic biomarker across cardiovascular diseases, noting its rapid release kinetics that make it particularly valuable for early detection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_Ref229570451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23</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Therefore, while copeptin is highly sensitive, its lack of specificity limits its use as a standalone diagnostic marker.</w:t>
      </w:r>
    </w:p>
    <w:p w14:paraId="15079AA4" w14:textId="27197F37"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The difference in diagnostic performance between NT</w:t>
      </w:r>
      <w:r w:rsidRPr="00EC7F67">
        <w:rPr>
          <w:rFonts w:ascii="Arial" w:eastAsia="Times New Roman" w:hAnsi="Arial" w:cs="Arial"/>
          <w:color w:val="0F1115"/>
          <w:kern w:val="0"/>
          <w:sz w:val="20"/>
          <w:szCs w:val="20"/>
          <w:lang w:eastAsia="en-GB"/>
          <w14:ligatures w14:val="none"/>
        </w:rPr>
        <w:noBreakHyphen/>
        <w:t>proBNP and copeptin highlights their complementary pathophysiological roles. NT</w:t>
      </w:r>
      <w:r w:rsidRPr="00EC7F67">
        <w:rPr>
          <w:rFonts w:ascii="Arial" w:eastAsia="Times New Roman" w:hAnsi="Arial" w:cs="Arial"/>
          <w:color w:val="0F1115"/>
          <w:kern w:val="0"/>
          <w:sz w:val="20"/>
          <w:szCs w:val="20"/>
          <w:lang w:eastAsia="en-GB"/>
          <w14:ligatures w14:val="none"/>
        </w:rPr>
        <w:noBreakHyphen/>
        <w:t>proBNP primarily reflects myocardial wall stress and ventricular dysfunction, whereas copeptin reflects activation of the vasopressin system as part of the neurohormonal response to circulatory stress. This explains why NT</w:t>
      </w:r>
      <w:r w:rsidRPr="00EC7F67">
        <w:rPr>
          <w:rFonts w:ascii="Arial" w:eastAsia="Times New Roman" w:hAnsi="Arial" w:cs="Arial"/>
          <w:color w:val="0F1115"/>
          <w:kern w:val="0"/>
          <w:sz w:val="20"/>
          <w:szCs w:val="20"/>
          <w:lang w:eastAsia="en-GB"/>
          <w14:ligatures w14:val="none"/>
        </w:rPr>
        <w:noBreakHyphen/>
        <w:t xml:space="preserve">proBNP is more effective for confirming HF, while copeptin may be more useful for early detection and screening. Contemporary evidence strongly supports that copeptin rises early in the disease course and provides additional insight into systemic stress that natriuretic peptides may not capture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_Ref229570451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23</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w:t>
      </w:r>
    </w:p>
    <w:p w14:paraId="6FCDF0BF" w14:textId="77777777" w:rsidR="0078137C" w:rsidRPr="00EC7F67" w:rsidRDefault="0078137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FC44591" w14:textId="77777777" w:rsidR="00D73BFC" w:rsidRPr="0078137C"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78137C">
        <w:rPr>
          <w:rFonts w:ascii="Arial" w:eastAsia="Times New Roman" w:hAnsi="Arial" w:cs="Arial"/>
          <w:i/>
          <w:iCs/>
          <w:color w:val="0F1115"/>
          <w:kern w:val="0"/>
          <w:sz w:val="20"/>
          <w:szCs w:val="20"/>
          <w:lang w:eastAsia="en-GB"/>
          <w14:ligatures w14:val="none"/>
        </w:rPr>
        <w:t>Complementary value of a multimarker approach</w:t>
      </w:r>
    </w:p>
    <w:p w14:paraId="07ADAA2A" w14:textId="447C1026"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These findings highlight the complementary nature of the two biomarkers. NT</w:t>
      </w:r>
      <w:r w:rsidRPr="00EC7F67">
        <w:rPr>
          <w:rFonts w:ascii="Arial" w:eastAsia="Times New Roman" w:hAnsi="Arial" w:cs="Arial"/>
          <w:color w:val="0F1115"/>
          <w:kern w:val="0"/>
          <w:sz w:val="20"/>
          <w:szCs w:val="20"/>
          <w:lang w:eastAsia="en-GB"/>
          <w14:ligatures w14:val="none"/>
        </w:rPr>
        <w:noBreakHyphen/>
        <w:t xml:space="preserve">proBNP appears more suitable for confirming HF due to its high specificity, whereas copeptin may enhance case detection by identifying patients who might otherwise remain undiagnosed. The </w:t>
      </w:r>
      <w:r w:rsidRPr="00EC7F67">
        <w:rPr>
          <w:rFonts w:ascii="Arial" w:eastAsia="Times New Roman" w:hAnsi="Arial" w:cs="Arial"/>
          <w:color w:val="0F1115"/>
          <w:kern w:val="0"/>
          <w:sz w:val="20"/>
          <w:szCs w:val="20"/>
          <w:lang w:eastAsia="en-GB"/>
          <w14:ligatures w14:val="none"/>
        </w:rPr>
        <w:lastRenderedPageBreak/>
        <w:t>combination of both biomarkers may therefore improve overall diagnostic performance by integrating cardiac</w:t>
      </w:r>
      <w:r w:rsidRPr="00EC7F67">
        <w:rPr>
          <w:rFonts w:ascii="Arial" w:eastAsia="Times New Roman" w:hAnsi="Arial" w:cs="Arial"/>
          <w:color w:val="0F1115"/>
          <w:kern w:val="0"/>
          <w:sz w:val="20"/>
          <w:szCs w:val="20"/>
          <w:lang w:eastAsia="en-GB"/>
          <w14:ligatures w14:val="none"/>
        </w:rPr>
        <w:noBreakHyphen/>
        <w:t>specific and systemic stress</w:t>
      </w:r>
      <w:r w:rsidRPr="00EC7F67">
        <w:rPr>
          <w:rFonts w:ascii="Arial" w:eastAsia="Times New Roman" w:hAnsi="Arial" w:cs="Arial"/>
          <w:color w:val="0F1115"/>
          <w:kern w:val="0"/>
          <w:sz w:val="20"/>
          <w:szCs w:val="20"/>
          <w:lang w:eastAsia="en-GB"/>
          <w14:ligatures w14:val="none"/>
        </w:rPr>
        <w:noBreakHyphen/>
        <w:t>related pathways. This multimarker approach is increasingly advocated in modern cardiovascular medicine. Studies from 2025 emphasise that combining copeptin with NT</w:t>
      </w:r>
      <w:r w:rsidRPr="00EC7F67">
        <w:rPr>
          <w:rFonts w:ascii="Arial" w:eastAsia="Times New Roman" w:hAnsi="Arial" w:cs="Arial"/>
          <w:color w:val="0F1115"/>
          <w:kern w:val="0"/>
          <w:sz w:val="20"/>
          <w:szCs w:val="20"/>
          <w:lang w:eastAsia="en-GB"/>
          <w14:ligatures w14:val="none"/>
        </w:rPr>
        <w:noBreakHyphen/>
        <w:t>proBNP or high</w:t>
      </w:r>
      <w:r w:rsidRPr="00EC7F67">
        <w:rPr>
          <w:rFonts w:ascii="Arial" w:eastAsia="Times New Roman" w:hAnsi="Arial" w:cs="Arial"/>
          <w:color w:val="0F1115"/>
          <w:kern w:val="0"/>
          <w:sz w:val="20"/>
          <w:szCs w:val="20"/>
          <w:lang w:eastAsia="en-GB"/>
          <w14:ligatures w14:val="none"/>
        </w:rPr>
        <w:noBreakHyphen/>
        <w:t xml:space="preserve">sensitivity cardiac troponin enhances risk stratification and prognostic accuracy, particularly in patients with complex presentations or comorbidities such as renal dysfunction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_Ref229570272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10</w:t>
      </w:r>
      <w:r w:rsidR="00563967">
        <w:rPr>
          <w:rFonts w:ascii="Arial" w:eastAsia="Times New Roman" w:hAnsi="Arial" w:cs="Arial"/>
          <w:color w:val="0000FF"/>
          <w:kern w:val="0"/>
          <w:sz w:val="20"/>
          <w:szCs w:val="20"/>
          <w:lang w:eastAsia="en-GB"/>
          <w14:ligatures w14:val="none"/>
        </w:rPr>
        <w:fldChar w:fldCharType="end"/>
      </w:r>
      <w:r w:rsidRPr="00647E1D">
        <w:rPr>
          <w:rFonts w:ascii="Arial" w:eastAsia="Times New Roman" w:hAnsi="Arial" w:cs="Arial"/>
          <w:color w:val="0000FF"/>
          <w:kern w:val="0"/>
          <w:sz w:val="20"/>
          <w:szCs w:val="20"/>
          <w:lang w:eastAsia="en-GB"/>
          <w14:ligatures w14:val="none"/>
        </w:rPr>
        <w:t>,</w:t>
      </w:r>
      <w:r w:rsidR="00647E1D" w:rsidRPr="00647E1D">
        <w:rPr>
          <w:rFonts w:ascii="Arial" w:eastAsia="Times New Roman" w:hAnsi="Arial" w:cs="Arial"/>
          <w:color w:val="0000FF"/>
          <w:kern w:val="0"/>
          <w:sz w:val="20"/>
          <w:szCs w:val="20"/>
          <w:lang w:eastAsia="en-GB"/>
          <w14:ligatures w14:val="none"/>
        </w:rPr>
        <w:t xml:space="preserve"> </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_Ref229570480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24</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w:t>
      </w:r>
    </w:p>
    <w:p w14:paraId="2C65C29C" w14:textId="0F7A2359"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The regression analysis in our study added an important layer beyond simple ROC comparisons by showing that both NT</w:t>
      </w:r>
      <w:r w:rsidRPr="00EC7F67">
        <w:rPr>
          <w:rFonts w:ascii="Arial" w:eastAsia="Times New Roman" w:hAnsi="Arial" w:cs="Arial"/>
          <w:color w:val="0F1115"/>
          <w:kern w:val="0"/>
          <w:sz w:val="20"/>
          <w:szCs w:val="20"/>
          <w:lang w:eastAsia="en-GB"/>
          <w14:ligatures w14:val="none"/>
        </w:rPr>
        <w:noBreakHyphen/>
        <w:t xml:space="preserve">proBNP and copeptin were independent predictors of HF in the binary model. This indicates that each biomarker contributes distinct and clinically relevant information, supporting a complementary biomarker model rather than a redundant one. Our findings align with those of Sravani et al., who recently reviewed the prognostic role of copeptin in HF and concluded that combining copeptin with natriuretic peptides improves risk stratification </w:t>
      </w:r>
      <w:r w:rsidR="00647E1D" w:rsidRPr="00647E1D">
        <w:rPr>
          <w:rFonts w:ascii="Arial" w:eastAsia="Times New Roman" w:hAnsi="Arial" w:cs="Arial"/>
          <w:color w:val="0000FF"/>
          <w:kern w:val="0"/>
          <w:sz w:val="20"/>
          <w:szCs w:val="20"/>
          <w:lang w:eastAsia="en-GB"/>
          <w14:ligatures w14:val="none"/>
        </w:rPr>
        <w:t>(</w:t>
      </w:r>
      <w:r w:rsidR="00901D8F">
        <w:rPr>
          <w:rFonts w:ascii="Arial" w:eastAsia="Times New Roman" w:hAnsi="Arial" w:cs="Arial"/>
          <w:color w:val="0000FF"/>
          <w:kern w:val="0"/>
          <w:sz w:val="20"/>
          <w:szCs w:val="20"/>
          <w:lang w:eastAsia="en-GB"/>
          <w14:ligatures w14:val="none"/>
        </w:rPr>
        <w:fldChar w:fldCharType="begin"/>
      </w:r>
      <w:r w:rsidR="00901D8F">
        <w:rPr>
          <w:rFonts w:ascii="Arial" w:eastAsia="Times New Roman" w:hAnsi="Arial" w:cs="Arial"/>
          <w:color w:val="0000FF"/>
          <w:kern w:val="0"/>
          <w:sz w:val="20"/>
          <w:szCs w:val="20"/>
          <w:lang w:eastAsia="en-GB"/>
          <w14:ligatures w14:val="none"/>
        </w:rPr>
        <w:instrText xml:space="preserve"> REF _Ref229570272 \r \h </w:instrText>
      </w:r>
      <w:r w:rsidR="00901D8F">
        <w:rPr>
          <w:rFonts w:ascii="Arial" w:eastAsia="Times New Roman" w:hAnsi="Arial" w:cs="Arial"/>
          <w:color w:val="0000FF"/>
          <w:kern w:val="0"/>
          <w:sz w:val="20"/>
          <w:szCs w:val="20"/>
          <w:lang w:eastAsia="en-GB"/>
          <w14:ligatures w14:val="none"/>
        </w:rPr>
      </w:r>
      <w:r w:rsidR="00901D8F">
        <w:rPr>
          <w:rFonts w:ascii="Arial" w:eastAsia="Times New Roman" w:hAnsi="Arial" w:cs="Arial"/>
          <w:color w:val="0000FF"/>
          <w:kern w:val="0"/>
          <w:sz w:val="20"/>
          <w:szCs w:val="20"/>
          <w:lang w:eastAsia="en-GB"/>
          <w14:ligatures w14:val="none"/>
        </w:rPr>
        <w:fldChar w:fldCharType="separate"/>
      </w:r>
      <w:r w:rsidR="00901D8F">
        <w:rPr>
          <w:rFonts w:ascii="Arial" w:eastAsia="Times New Roman" w:hAnsi="Arial" w:cs="Arial"/>
          <w:color w:val="0000FF"/>
          <w:kern w:val="0"/>
          <w:sz w:val="20"/>
          <w:szCs w:val="20"/>
          <w:lang w:eastAsia="en-GB"/>
          <w14:ligatures w14:val="none"/>
        </w:rPr>
        <w:t>10</w:t>
      </w:r>
      <w:r w:rsidR="00901D8F">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Similarly, Mu et al. comprehensively reviewed copeptin’s diagnostic and prognostic value in cardiovascular diseases, emphasising its rapid release kinetics and complementary role to NT</w:t>
      </w:r>
      <w:r w:rsidRPr="00EC7F67">
        <w:rPr>
          <w:rFonts w:ascii="Arial" w:eastAsia="Times New Roman" w:hAnsi="Arial" w:cs="Arial"/>
          <w:color w:val="0F1115"/>
          <w:kern w:val="0"/>
          <w:sz w:val="20"/>
          <w:szCs w:val="20"/>
          <w:lang w:eastAsia="en-GB"/>
          <w14:ligatures w14:val="none"/>
        </w:rPr>
        <w:noBreakHyphen/>
        <w:t xml:space="preserve">proBNP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_Ref229570451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23</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w:t>
      </w:r>
    </w:p>
    <w:p w14:paraId="08FD0E32" w14:textId="77777777" w:rsidR="0078137C" w:rsidRPr="00EC7F67" w:rsidRDefault="0078137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6E79ABC" w14:textId="77777777" w:rsidR="00D73BFC" w:rsidRPr="0078137C"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78137C">
        <w:rPr>
          <w:rFonts w:ascii="Arial" w:eastAsia="Times New Roman" w:hAnsi="Arial" w:cs="Arial"/>
          <w:i/>
          <w:iCs/>
          <w:color w:val="0F1115"/>
          <w:kern w:val="0"/>
          <w:sz w:val="20"/>
          <w:szCs w:val="20"/>
          <w:lang w:eastAsia="en-GB"/>
          <w14:ligatures w14:val="none"/>
        </w:rPr>
        <w:t>Divergent association with systolic dysfunction severity</w:t>
      </w:r>
    </w:p>
    <w:p w14:paraId="0E2803C1" w14:textId="59962C3E"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Perhaps the most noteworthy finding of our study is the divergent performance of the two biomarkers in the ordinal logistic regression model assessing systolic dysfunction severity. Only NT</w:t>
      </w:r>
      <w:r w:rsidRPr="00EC7F67">
        <w:rPr>
          <w:rFonts w:ascii="Arial" w:eastAsia="Times New Roman" w:hAnsi="Arial" w:cs="Arial"/>
          <w:color w:val="0F1115"/>
          <w:kern w:val="0"/>
          <w:sz w:val="20"/>
          <w:szCs w:val="20"/>
          <w:lang w:eastAsia="en-GB"/>
          <w14:ligatures w14:val="none"/>
        </w:rPr>
        <w:noBreakHyphen/>
        <w:t>proBNP remained statistically significant, suggesting a stronger and more direct association with the degree of cardiac impairment. This observation is consistent with previous studies demonstrating that NT</w:t>
      </w:r>
      <w:r w:rsidRPr="00EC7F67">
        <w:rPr>
          <w:rFonts w:ascii="Arial" w:eastAsia="Times New Roman" w:hAnsi="Arial" w:cs="Arial"/>
          <w:color w:val="0F1115"/>
          <w:kern w:val="0"/>
          <w:sz w:val="20"/>
          <w:szCs w:val="20"/>
          <w:lang w:eastAsia="en-GB"/>
          <w14:ligatures w14:val="none"/>
        </w:rPr>
        <w:noBreakHyphen/>
        <w:t xml:space="preserve">proBNP correlates closely with ventricular dysfunction and HF severity </w:t>
      </w:r>
      <w:r w:rsidR="00647E1D" w:rsidRPr="00647E1D">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_Ref229570533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25</w:t>
      </w:r>
      <w:r w:rsidR="00563967">
        <w:rPr>
          <w:rFonts w:ascii="Arial" w:eastAsia="Times New Roman" w:hAnsi="Arial" w:cs="Arial"/>
          <w:color w:val="0000FF"/>
          <w:kern w:val="0"/>
          <w:sz w:val="20"/>
          <w:szCs w:val="20"/>
          <w:lang w:eastAsia="en-GB"/>
          <w14:ligatures w14:val="none"/>
        </w:rPr>
        <w:fldChar w:fldCharType="end"/>
      </w:r>
      <w:r w:rsidR="00647E1D" w:rsidRPr="00647E1D">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In contrast, copeptin did not retain significance in the severity model, which may indicate that its role is more related to systemic stress and neurohormonal activation rather than direct cardiac dysfunction. This interpretation is supported by comparative studies showing that copeptin has </w:t>
      </w:r>
      <w:r w:rsidR="00563967">
        <w:rPr>
          <w:rFonts w:ascii="Arial" w:eastAsia="Times New Roman" w:hAnsi="Arial" w:cs="Arial"/>
          <w:color w:val="0F1115"/>
          <w:kern w:val="0"/>
          <w:sz w:val="20"/>
          <w:szCs w:val="20"/>
          <w:lang w:eastAsia="en-GB"/>
          <w14:ligatures w14:val="none"/>
        </w:rPr>
        <w:t xml:space="preserve">a </w:t>
      </w:r>
      <w:r w:rsidRPr="00EC7F67">
        <w:rPr>
          <w:rFonts w:ascii="Arial" w:eastAsia="Times New Roman" w:hAnsi="Arial" w:cs="Arial"/>
          <w:color w:val="0F1115"/>
          <w:kern w:val="0"/>
          <w:sz w:val="20"/>
          <w:szCs w:val="20"/>
          <w:lang w:eastAsia="en-GB"/>
          <w14:ligatures w14:val="none"/>
        </w:rPr>
        <w:t xml:space="preserve">limited ability to discriminate between different stages of HF severity </w:t>
      </w:r>
      <w:r w:rsidR="00B9681C" w:rsidRPr="00B9681C">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_Ref229570542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26</w:t>
      </w:r>
      <w:r w:rsidR="00563967">
        <w:rPr>
          <w:rFonts w:ascii="Arial" w:eastAsia="Times New Roman" w:hAnsi="Arial" w:cs="Arial"/>
          <w:color w:val="0000FF"/>
          <w:kern w:val="0"/>
          <w:sz w:val="20"/>
          <w:szCs w:val="20"/>
          <w:lang w:eastAsia="en-GB"/>
          <w14:ligatures w14:val="none"/>
        </w:rPr>
        <w:fldChar w:fldCharType="end"/>
      </w:r>
      <w:r w:rsidR="00563967">
        <w:rPr>
          <w:rFonts w:ascii="Arial" w:eastAsia="Times New Roman" w:hAnsi="Arial" w:cs="Arial"/>
          <w:color w:val="0000FF"/>
          <w:kern w:val="0"/>
          <w:sz w:val="20"/>
          <w:szCs w:val="20"/>
          <w:lang w:eastAsia="en-GB"/>
          <w14:ligatures w14:val="none"/>
        </w:rPr>
        <w:t>)</w:t>
      </w:r>
      <w:r w:rsidR="00EB4694" w:rsidRPr="00EB4694">
        <w:rPr>
          <w:rFonts w:ascii="Arial" w:eastAsia="Times New Roman" w:hAnsi="Arial" w:cs="Arial"/>
          <w:color w:val="000000" w:themeColor="text1"/>
          <w:kern w:val="0"/>
          <w:sz w:val="20"/>
          <w:szCs w:val="20"/>
          <w:lang w:eastAsia="en-GB"/>
          <w14:ligatures w14:val="none"/>
        </w:rPr>
        <w:t>.</w:t>
      </w:r>
      <w:r w:rsidR="00EB4694">
        <w:rPr>
          <w:rFonts w:ascii="Arial" w:eastAsia="Times New Roman" w:hAnsi="Arial" w:cs="Arial"/>
          <w:color w:val="0000FF"/>
          <w:kern w:val="0"/>
          <w:sz w:val="20"/>
          <w:szCs w:val="20"/>
          <w:lang w:eastAsia="en-GB"/>
          <w14:ligatures w14:val="none"/>
        </w:rPr>
        <w:t xml:space="preserve"> </w:t>
      </w:r>
      <w:r w:rsidR="00563967">
        <w:rPr>
          <w:rFonts w:ascii="Arial" w:eastAsia="Times New Roman" w:hAnsi="Arial" w:cs="Arial"/>
          <w:color w:val="0F1115"/>
          <w:kern w:val="0"/>
          <w:sz w:val="20"/>
          <w:szCs w:val="20"/>
          <w:lang w:eastAsia="en-GB"/>
          <w14:ligatures w14:val="none"/>
        </w:rPr>
        <w:t>Despite</w:t>
      </w:r>
      <w:r w:rsidRPr="00EC7F67">
        <w:rPr>
          <w:rFonts w:ascii="Arial" w:eastAsia="Times New Roman" w:hAnsi="Arial" w:cs="Arial"/>
          <w:color w:val="0F1115"/>
          <w:kern w:val="0"/>
          <w:sz w:val="20"/>
          <w:szCs w:val="20"/>
          <w:lang w:eastAsia="en-GB"/>
          <w14:ligatures w14:val="none"/>
        </w:rPr>
        <w:t xml:space="preserve"> its well</w:t>
      </w:r>
      <w:r w:rsidRPr="00EC7F67">
        <w:rPr>
          <w:rFonts w:ascii="Arial" w:eastAsia="Times New Roman" w:hAnsi="Arial" w:cs="Arial"/>
          <w:color w:val="0F1115"/>
          <w:kern w:val="0"/>
          <w:sz w:val="20"/>
          <w:szCs w:val="20"/>
          <w:lang w:eastAsia="en-GB"/>
          <w14:ligatures w14:val="none"/>
        </w:rPr>
        <w:noBreakHyphen/>
        <w:t>established prognostic value in predicting adverse outcomes, incident cardiovascular events</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and mortality in both acute and chronic HF settings </w:t>
      </w:r>
      <w:r w:rsidR="00B9681C" w:rsidRPr="00B9681C">
        <w:rPr>
          <w:rFonts w:ascii="Arial" w:eastAsia="Times New Roman" w:hAnsi="Arial" w:cs="Arial"/>
          <w:color w:val="0000FF"/>
          <w:kern w:val="0"/>
          <w:sz w:val="20"/>
          <w:szCs w:val="20"/>
          <w:lang w:eastAsia="en-GB"/>
          <w14:ligatures w14:val="none"/>
        </w:rPr>
        <w:t>(</w:t>
      </w:r>
      <w:r w:rsidR="00901D8F">
        <w:rPr>
          <w:rFonts w:ascii="Arial" w:eastAsia="Times New Roman" w:hAnsi="Arial" w:cs="Arial"/>
          <w:color w:val="0000FF"/>
          <w:kern w:val="0"/>
          <w:sz w:val="20"/>
          <w:szCs w:val="20"/>
          <w:lang w:eastAsia="en-GB"/>
          <w14:ligatures w14:val="none"/>
        </w:rPr>
        <w:fldChar w:fldCharType="begin"/>
      </w:r>
      <w:r w:rsidR="00901D8F">
        <w:rPr>
          <w:rFonts w:ascii="Arial" w:eastAsia="Times New Roman" w:hAnsi="Arial" w:cs="Arial"/>
          <w:color w:val="0000FF"/>
          <w:kern w:val="0"/>
          <w:sz w:val="20"/>
          <w:szCs w:val="20"/>
          <w:lang w:eastAsia="en-GB"/>
          <w14:ligatures w14:val="none"/>
        </w:rPr>
        <w:instrText xml:space="preserve"> REF _Ref229581527 \r \h </w:instrText>
      </w:r>
      <w:r w:rsidR="00901D8F">
        <w:rPr>
          <w:rFonts w:ascii="Arial" w:eastAsia="Times New Roman" w:hAnsi="Arial" w:cs="Arial"/>
          <w:color w:val="0000FF"/>
          <w:kern w:val="0"/>
          <w:sz w:val="20"/>
          <w:szCs w:val="20"/>
          <w:lang w:eastAsia="en-GB"/>
          <w14:ligatures w14:val="none"/>
        </w:rPr>
      </w:r>
      <w:r w:rsidR="00901D8F">
        <w:rPr>
          <w:rFonts w:ascii="Arial" w:eastAsia="Times New Roman" w:hAnsi="Arial" w:cs="Arial"/>
          <w:color w:val="0000FF"/>
          <w:kern w:val="0"/>
          <w:sz w:val="20"/>
          <w:szCs w:val="20"/>
          <w:lang w:eastAsia="en-GB"/>
          <w14:ligatures w14:val="none"/>
        </w:rPr>
        <w:fldChar w:fldCharType="separate"/>
      </w:r>
      <w:r w:rsidR="00901D8F">
        <w:rPr>
          <w:rFonts w:ascii="Arial" w:eastAsia="Times New Roman" w:hAnsi="Arial" w:cs="Arial"/>
          <w:color w:val="0000FF"/>
          <w:kern w:val="0"/>
          <w:sz w:val="20"/>
          <w:szCs w:val="20"/>
          <w:lang w:eastAsia="en-GB"/>
          <w14:ligatures w14:val="none"/>
        </w:rPr>
        <w:t>27</w:t>
      </w:r>
      <w:r w:rsidR="00901D8F">
        <w:rPr>
          <w:rFonts w:ascii="Arial" w:eastAsia="Times New Roman" w:hAnsi="Arial" w:cs="Arial"/>
          <w:color w:val="0000FF"/>
          <w:kern w:val="0"/>
          <w:sz w:val="20"/>
          <w:szCs w:val="20"/>
          <w:lang w:eastAsia="en-GB"/>
          <w14:ligatures w14:val="none"/>
        </w:rPr>
        <w:fldChar w:fldCharType="end"/>
      </w:r>
      <w:r w:rsidRPr="00B9681C">
        <w:rPr>
          <w:rFonts w:ascii="Arial" w:eastAsia="Times New Roman" w:hAnsi="Arial" w:cs="Arial"/>
          <w:color w:val="0000FF"/>
          <w:kern w:val="0"/>
          <w:sz w:val="20"/>
          <w:szCs w:val="20"/>
          <w:lang w:eastAsia="en-GB"/>
          <w14:ligatures w14:val="none"/>
        </w:rPr>
        <w:t>,</w:t>
      </w:r>
      <w:r w:rsidR="00B9681C" w:rsidRPr="00B9681C">
        <w:rPr>
          <w:rFonts w:ascii="Arial" w:eastAsia="Times New Roman" w:hAnsi="Arial" w:cs="Arial"/>
          <w:color w:val="0000FF"/>
          <w:kern w:val="0"/>
          <w:sz w:val="20"/>
          <w:szCs w:val="20"/>
          <w:lang w:eastAsia="en-GB"/>
          <w14:ligatures w14:val="none"/>
        </w:rPr>
        <w:t xml:space="preserve"> </w:t>
      </w:r>
      <w:r w:rsidR="00901D8F">
        <w:rPr>
          <w:rFonts w:ascii="Arial" w:eastAsia="Times New Roman" w:hAnsi="Arial" w:cs="Arial"/>
          <w:color w:val="0000FF"/>
          <w:kern w:val="0"/>
          <w:sz w:val="20"/>
          <w:szCs w:val="20"/>
          <w:lang w:eastAsia="en-GB"/>
          <w14:ligatures w14:val="none"/>
        </w:rPr>
        <w:fldChar w:fldCharType="begin"/>
      </w:r>
      <w:r w:rsidR="00901D8F">
        <w:rPr>
          <w:rFonts w:ascii="Arial" w:eastAsia="Times New Roman" w:hAnsi="Arial" w:cs="Arial"/>
          <w:color w:val="0000FF"/>
          <w:kern w:val="0"/>
          <w:sz w:val="20"/>
          <w:szCs w:val="20"/>
          <w:lang w:eastAsia="en-GB"/>
          <w14:ligatures w14:val="none"/>
        </w:rPr>
        <w:instrText xml:space="preserve"> REF _Ref229581534 \r \h </w:instrText>
      </w:r>
      <w:r w:rsidR="00901D8F">
        <w:rPr>
          <w:rFonts w:ascii="Arial" w:eastAsia="Times New Roman" w:hAnsi="Arial" w:cs="Arial"/>
          <w:color w:val="0000FF"/>
          <w:kern w:val="0"/>
          <w:sz w:val="20"/>
          <w:szCs w:val="20"/>
          <w:lang w:eastAsia="en-GB"/>
          <w14:ligatures w14:val="none"/>
        </w:rPr>
      </w:r>
      <w:r w:rsidR="00901D8F">
        <w:rPr>
          <w:rFonts w:ascii="Arial" w:eastAsia="Times New Roman" w:hAnsi="Arial" w:cs="Arial"/>
          <w:color w:val="0000FF"/>
          <w:kern w:val="0"/>
          <w:sz w:val="20"/>
          <w:szCs w:val="20"/>
          <w:lang w:eastAsia="en-GB"/>
          <w14:ligatures w14:val="none"/>
        </w:rPr>
        <w:fldChar w:fldCharType="separate"/>
      </w:r>
      <w:r w:rsidR="00901D8F">
        <w:rPr>
          <w:rFonts w:ascii="Arial" w:eastAsia="Times New Roman" w:hAnsi="Arial" w:cs="Arial"/>
          <w:color w:val="0000FF"/>
          <w:kern w:val="0"/>
          <w:sz w:val="20"/>
          <w:szCs w:val="20"/>
          <w:lang w:eastAsia="en-GB"/>
          <w14:ligatures w14:val="none"/>
        </w:rPr>
        <w:t>28</w:t>
      </w:r>
      <w:r w:rsidR="00901D8F">
        <w:rPr>
          <w:rFonts w:ascii="Arial" w:eastAsia="Times New Roman" w:hAnsi="Arial" w:cs="Arial"/>
          <w:color w:val="0000FF"/>
          <w:kern w:val="0"/>
          <w:sz w:val="20"/>
          <w:szCs w:val="20"/>
          <w:lang w:eastAsia="en-GB"/>
          <w14:ligatures w14:val="none"/>
        </w:rPr>
        <w:fldChar w:fldCharType="end"/>
      </w:r>
      <w:r w:rsidR="00B9681C" w:rsidRPr="00B9681C">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w:t>
      </w:r>
    </w:p>
    <w:p w14:paraId="5F1564EF" w14:textId="77777777" w:rsidR="0078137C" w:rsidRPr="00EC7F67" w:rsidRDefault="0078137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024B458" w14:textId="77777777" w:rsidR="00D73BFC" w:rsidRPr="0078137C"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78137C">
        <w:rPr>
          <w:rFonts w:ascii="Arial" w:eastAsia="Times New Roman" w:hAnsi="Arial" w:cs="Arial"/>
          <w:i/>
          <w:iCs/>
          <w:color w:val="0F1115"/>
          <w:kern w:val="0"/>
          <w:sz w:val="20"/>
          <w:szCs w:val="20"/>
          <w:lang w:eastAsia="en-GB"/>
          <w14:ligatures w14:val="none"/>
        </w:rPr>
        <w:t>Integration with existing literature and clinical implications</w:t>
      </w:r>
    </w:p>
    <w:p w14:paraId="0B275469" w14:textId="77763EA8"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Overall, the combined ROC and regression findings support a complementary biomarker strategy rather than a single</w:t>
      </w:r>
      <w:r w:rsidRPr="00EC7F67">
        <w:rPr>
          <w:rFonts w:ascii="Arial" w:eastAsia="Times New Roman" w:hAnsi="Arial" w:cs="Arial"/>
          <w:color w:val="0F1115"/>
          <w:kern w:val="0"/>
          <w:sz w:val="20"/>
          <w:szCs w:val="20"/>
          <w:lang w:eastAsia="en-GB"/>
          <w14:ligatures w14:val="none"/>
        </w:rPr>
        <w:noBreakHyphen/>
        <w:t xml:space="preserve">marker approach. </w:t>
      </w:r>
      <w:r w:rsidRPr="00EC7F67">
        <w:rPr>
          <w:rFonts w:ascii="Arial" w:eastAsia="Times New Roman" w:hAnsi="Arial" w:cs="Arial"/>
          <w:color w:val="0F1115"/>
          <w:kern w:val="0"/>
          <w:sz w:val="20"/>
          <w:szCs w:val="20"/>
          <w:lang w:eastAsia="en-GB"/>
          <w14:ligatures w14:val="none"/>
        </w:rPr>
        <w:t>NT</w:t>
      </w:r>
      <w:r w:rsidRPr="00EC7F67">
        <w:rPr>
          <w:rFonts w:ascii="Arial" w:eastAsia="Times New Roman" w:hAnsi="Arial" w:cs="Arial"/>
          <w:color w:val="0F1115"/>
          <w:kern w:val="0"/>
          <w:sz w:val="20"/>
          <w:szCs w:val="20"/>
          <w:lang w:eastAsia="en-GB"/>
          <w14:ligatures w14:val="none"/>
        </w:rPr>
        <w:noBreakHyphen/>
        <w:t>proBNP appears more suitable for confirming HF and reflecting systolic dysfunction severity, whereas copeptin adds value in identifying patients who might otherwise be missed and in capturing broader neurohormonal stress. The present findings</w:t>
      </w:r>
      <w:r w:rsidR="00553BDA">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therefore</w:t>
      </w:r>
      <w:r w:rsidR="0078137C">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extend the literature by integrating diagnostic discrimination and independent predictive assessment within the same cohort, and they align strongly with the contemporary shift towards multimarker interpretation in HF management to achieve more personalised and accurate clinical assessments </w:t>
      </w:r>
      <w:r w:rsidR="00B9681C" w:rsidRPr="00B9681C">
        <w:rPr>
          <w:rFonts w:ascii="Arial" w:eastAsia="Times New Roman" w:hAnsi="Arial" w:cs="Arial"/>
          <w:color w:val="0000FF"/>
          <w:kern w:val="0"/>
          <w:sz w:val="20"/>
          <w:szCs w:val="20"/>
          <w:lang w:eastAsia="en-GB"/>
          <w14:ligatures w14:val="none"/>
        </w:rPr>
        <w:t>(</w:t>
      </w:r>
      <w:r w:rsidR="00563967">
        <w:rPr>
          <w:rFonts w:ascii="Arial" w:eastAsia="Times New Roman" w:hAnsi="Arial" w:cs="Arial"/>
          <w:color w:val="0000FF"/>
          <w:kern w:val="0"/>
          <w:sz w:val="20"/>
          <w:szCs w:val="20"/>
          <w:lang w:eastAsia="en-GB"/>
          <w14:ligatures w14:val="none"/>
        </w:rPr>
        <w:fldChar w:fldCharType="begin"/>
      </w:r>
      <w:r w:rsidR="00563967">
        <w:rPr>
          <w:rFonts w:ascii="Arial" w:eastAsia="Times New Roman" w:hAnsi="Arial" w:cs="Arial"/>
          <w:color w:val="0000FF"/>
          <w:kern w:val="0"/>
          <w:sz w:val="20"/>
          <w:szCs w:val="20"/>
          <w:lang w:eastAsia="en-GB"/>
          <w14:ligatures w14:val="none"/>
        </w:rPr>
        <w:instrText xml:space="preserve"> REF _Ref229570557 \r \h </w:instrText>
      </w:r>
      <w:r w:rsidR="00563967">
        <w:rPr>
          <w:rFonts w:ascii="Arial" w:eastAsia="Times New Roman" w:hAnsi="Arial" w:cs="Arial"/>
          <w:color w:val="0000FF"/>
          <w:kern w:val="0"/>
          <w:sz w:val="20"/>
          <w:szCs w:val="20"/>
          <w:lang w:eastAsia="en-GB"/>
          <w14:ligatures w14:val="none"/>
        </w:rPr>
      </w:r>
      <w:r w:rsidR="00563967">
        <w:rPr>
          <w:rFonts w:ascii="Arial" w:eastAsia="Times New Roman" w:hAnsi="Arial" w:cs="Arial"/>
          <w:color w:val="0000FF"/>
          <w:kern w:val="0"/>
          <w:sz w:val="20"/>
          <w:szCs w:val="20"/>
          <w:lang w:eastAsia="en-GB"/>
          <w14:ligatures w14:val="none"/>
        </w:rPr>
        <w:fldChar w:fldCharType="separate"/>
      </w:r>
      <w:r w:rsidR="00563967">
        <w:rPr>
          <w:rFonts w:ascii="Arial" w:eastAsia="Times New Roman" w:hAnsi="Arial" w:cs="Arial"/>
          <w:color w:val="0000FF"/>
          <w:kern w:val="0"/>
          <w:sz w:val="20"/>
          <w:szCs w:val="20"/>
          <w:lang w:eastAsia="en-GB"/>
          <w14:ligatures w14:val="none"/>
        </w:rPr>
        <w:t>29</w:t>
      </w:r>
      <w:r w:rsidR="00563967">
        <w:rPr>
          <w:rFonts w:ascii="Arial" w:eastAsia="Times New Roman" w:hAnsi="Arial" w:cs="Arial"/>
          <w:color w:val="0000FF"/>
          <w:kern w:val="0"/>
          <w:sz w:val="20"/>
          <w:szCs w:val="20"/>
          <w:lang w:eastAsia="en-GB"/>
          <w14:ligatures w14:val="none"/>
        </w:rPr>
        <w:fldChar w:fldCharType="end"/>
      </w:r>
      <w:r w:rsidR="00B9681C" w:rsidRPr="00B9681C">
        <w:rPr>
          <w:rFonts w:ascii="Arial" w:eastAsia="Times New Roman" w:hAnsi="Arial" w:cs="Arial"/>
          <w:color w:val="0000FF"/>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w:t>
      </w:r>
    </w:p>
    <w:p w14:paraId="7EDDFBB6" w14:textId="77777777"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From a clinical perspective, our results suggest that in resource</w:t>
      </w:r>
      <w:r w:rsidRPr="00EC7F67">
        <w:rPr>
          <w:rFonts w:ascii="Arial" w:eastAsia="Times New Roman" w:hAnsi="Arial" w:cs="Arial"/>
          <w:color w:val="0F1115"/>
          <w:kern w:val="0"/>
          <w:sz w:val="20"/>
          <w:szCs w:val="20"/>
          <w:lang w:eastAsia="en-GB"/>
          <w14:ligatures w14:val="none"/>
        </w:rPr>
        <w:noBreakHyphen/>
        <w:t>limited settings where only one biomarker can be measured, NT</w:t>
      </w:r>
      <w:r w:rsidRPr="00EC7F67">
        <w:rPr>
          <w:rFonts w:ascii="Arial" w:eastAsia="Times New Roman" w:hAnsi="Arial" w:cs="Arial"/>
          <w:color w:val="0F1115"/>
          <w:kern w:val="0"/>
          <w:sz w:val="20"/>
          <w:szCs w:val="20"/>
          <w:lang w:eastAsia="en-GB"/>
          <w14:ligatures w14:val="none"/>
        </w:rPr>
        <w:noBreakHyphen/>
        <w:t>proBNP may be preferable when the clinical question relates to confirming HF and assessing severity. However, when available, measurement of both biomarkers could enhance diagnostic sensitivity and provide a more complete picture of the underlying pathophysiology. This is particularly relevant in settings such as Iraq, where access to advanced cardiac imaging may be limited, and reliable blood</w:t>
      </w:r>
      <w:r w:rsidRPr="00EC7F67">
        <w:rPr>
          <w:rFonts w:ascii="Arial" w:eastAsia="Times New Roman" w:hAnsi="Arial" w:cs="Arial"/>
          <w:color w:val="0F1115"/>
          <w:kern w:val="0"/>
          <w:sz w:val="20"/>
          <w:szCs w:val="20"/>
          <w:lang w:eastAsia="en-GB"/>
          <w14:ligatures w14:val="none"/>
        </w:rPr>
        <w:noBreakHyphen/>
        <w:t>based biomarkers can fill important diagnostic gaps.</w:t>
      </w:r>
    </w:p>
    <w:p w14:paraId="2D6F5B18" w14:textId="77777777" w:rsidR="0078137C" w:rsidRPr="00EC7F67" w:rsidRDefault="0078137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50E5E78" w14:textId="77777777" w:rsidR="00D73BFC" w:rsidRPr="0078137C"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78137C">
        <w:rPr>
          <w:rFonts w:ascii="Arial" w:eastAsia="Times New Roman" w:hAnsi="Arial" w:cs="Arial"/>
          <w:i/>
          <w:iCs/>
          <w:color w:val="0F1115"/>
          <w:kern w:val="0"/>
          <w:sz w:val="20"/>
          <w:szCs w:val="20"/>
          <w:lang w:eastAsia="en-GB"/>
          <w14:ligatures w14:val="none"/>
        </w:rPr>
        <w:t>Study limitations and future directions</w:t>
      </w:r>
    </w:p>
    <w:p w14:paraId="334AE40E" w14:textId="31592E62"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Several limitations of this study must be acknowledged. First, the case</w:t>
      </w:r>
      <w:r w:rsidRPr="00EC7F67">
        <w:rPr>
          <w:rFonts w:ascii="Arial" w:eastAsia="Times New Roman" w:hAnsi="Arial" w:cs="Arial"/>
          <w:color w:val="0F1115"/>
          <w:kern w:val="0"/>
          <w:sz w:val="20"/>
          <w:szCs w:val="20"/>
          <w:lang w:eastAsia="en-GB"/>
          <w14:ligatures w14:val="none"/>
        </w:rPr>
        <w:noBreakHyphen/>
        <w:t>control design precludes assessment of the predictive value of these biomarkers for future clinical outcomes such as hospitalisation or mortality. Longitudinal studies are needed to establish prognostic utility. Second, the relatively small sample size (60 patients per group) from a single centre may limit generalisability, and the absence of a separate validation cohort means that our cut</w:t>
      </w:r>
      <w:r w:rsidRPr="00EC7F67">
        <w:rPr>
          <w:rFonts w:ascii="Arial" w:eastAsia="Times New Roman" w:hAnsi="Arial" w:cs="Arial"/>
          <w:color w:val="0F1115"/>
          <w:kern w:val="0"/>
          <w:sz w:val="20"/>
          <w:szCs w:val="20"/>
          <w:lang w:eastAsia="en-GB"/>
          <w14:ligatures w14:val="none"/>
        </w:rPr>
        <w:noBreakHyphen/>
        <w:t>off values require external validation. Third, we excluded patients with coronary heart disease to avoid confounding from active ischaemia; however, because coronary artery disease is the most common aetiology of HF worldwide, our findings may not fully generalise to the broader HF population. Fourth, all participants were from a single geographic region in Iraq, and it remains unknown whether our findings apply to other populations with different demographic or genetic backgrounds. Fifth, we did not assess renal function, which is known to influence NT</w:t>
      </w:r>
      <w:r w:rsidRPr="00EC7F67">
        <w:rPr>
          <w:rFonts w:ascii="Arial" w:eastAsia="Times New Roman" w:hAnsi="Arial" w:cs="Arial"/>
          <w:color w:val="0F1115"/>
          <w:kern w:val="0"/>
          <w:sz w:val="20"/>
          <w:szCs w:val="20"/>
          <w:lang w:eastAsia="en-GB"/>
          <w14:ligatures w14:val="none"/>
        </w:rPr>
        <w:noBreakHyphen/>
        <w:t xml:space="preserve">proBNP levels independently of HF status. Sixth, the lipid profile values in the control group were unexpectedly low; although these differences were statistically significant, their clinical interpretation should be cautious, and they may reflect local dietary or laboratory factors rather than true biological differences. Seventh, we used verbal informed consent rather than written consent, which may not meet the standards of all journals, though it was approved by our local </w:t>
      </w:r>
      <w:r w:rsidRPr="00EC7F67">
        <w:rPr>
          <w:rFonts w:ascii="Arial" w:eastAsia="Times New Roman" w:hAnsi="Arial" w:cs="Arial"/>
          <w:color w:val="0F1115"/>
          <w:kern w:val="0"/>
          <w:sz w:val="20"/>
          <w:szCs w:val="20"/>
          <w:lang w:eastAsia="en-GB"/>
          <w14:ligatures w14:val="none"/>
        </w:rPr>
        <w:lastRenderedPageBreak/>
        <w:t xml:space="preserve">ethics committee. </w:t>
      </w:r>
      <w:r w:rsidR="008250F8" w:rsidRPr="008250F8">
        <w:rPr>
          <w:rFonts w:ascii="Arial" w:eastAsia="Times New Roman" w:hAnsi="Arial" w:cs="Arial"/>
          <w:color w:val="0F1115"/>
          <w:kern w:val="0"/>
          <w:sz w:val="20"/>
          <w:szCs w:val="20"/>
          <w:lang w:eastAsia="en-GB"/>
          <w14:ligatures w14:val="none"/>
        </w:rPr>
        <w:t>Additionally, the lipid data from the control group were unusually low, raising the possibility of a laboratory measurement error or a selection bias; therefore, no strong conclusions about lipid profiles in HF versus healthy status can be drawn from this study</w:t>
      </w:r>
      <w:r w:rsidR="008250F8">
        <w:rPr>
          <w:rFonts w:ascii="Arial" w:eastAsia="Times New Roman" w:hAnsi="Arial" w:cs="Arial"/>
          <w:color w:val="0F1115"/>
          <w:kern w:val="0"/>
          <w:sz w:val="20"/>
          <w:szCs w:val="20"/>
          <w:lang w:eastAsia="en-GB"/>
          <w14:ligatures w14:val="none"/>
        </w:rPr>
        <w:t xml:space="preserve">. </w:t>
      </w:r>
      <w:r w:rsidRPr="00EC7F67">
        <w:rPr>
          <w:rFonts w:ascii="Arial" w:eastAsia="Times New Roman" w:hAnsi="Arial" w:cs="Arial"/>
          <w:color w:val="0F1115"/>
          <w:kern w:val="0"/>
          <w:sz w:val="20"/>
          <w:szCs w:val="20"/>
          <w:lang w:eastAsia="en-GB"/>
          <w14:ligatures w14:val="none"/>
        </w:rPr>
        <w:t>Finally, we did not adjust for multiple comparisons in all analyses, raising the possibility of Type I error for some of the secondary comparisons.</w:t>
      </w:r>
    </w:p>
    <w:p w14:paraId="5B1BCB58" w14:textId="2837E18A"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Future research directions should include a larger, multicentre prospective study with long</w:t>
      </w:r>
      <w:r w:rsidRPr="00EC7F67">
        <w:rPr>
          <w:rFonts w:ascii="Arial" w:eastAsia="Times New Roman" w:hAnsi="Arial" w:cs="Arial"/>
          <w:color w:val="0F1115"/>
          <w:kern w:val="0"/>
          <w:sz w:val="20"/>
          <w:szCs w:val="20"/>
          <w:lang w:eastAsia="en-GB"/>
          <w14:ligatures w14:val="none"/>
        </w:rPr>
        <w:noBreakHyphen/>
        <w:t>term follow</w:t>
      </w:r>
      <w:r w:rsidRPr="00EC7F67">
        <w:rPr>
          <w:rFonts w:ascii="Arial" w:eastAsia="Times New Roman" w:hAnsi="Arial" w:cs="Arial"/>
          <w:color w:val="0F1115"/>
          <w:kern w:val="0"/>
          <w:sz w:val="20"/>
          <w:szCs w:val="20"/>
          <w:lang w:eastAsia="en-GB"/>
          <w14:ligatures w14:val="none"/>
        </w:rPr>
        <w:noBreakHyphen/>
        <w:t>up to evaluate the prognostic value of these biomarkers for hard clinical endpoints. Additionally, studies should investigate whether a combined biomarker algorithm can improve clinical decision</w:t>
      </w:r>
      <w:r w:rsidRPr="00EC7F67">
        <w:rPr>
          <w:rFonts w:ascii="Arial" w:eastAsia="Times New Roman" w:hAnsi="Arial" w:cs="Arial"/>
          <w:color w:val="0F1115"/>
          <w:kern w:val="0"/>
          <w:sz w:val="20"/>
          <w:szCs w:val="20"/>
          <w:lang w:eastAsia="en-GB"/>
          <w14:ligatures w14:val="none"/>
        </w:rPr>
        <w:noBreakHyphen/>
        <w:t>making, for example</w:t>
      </w:r>
      <w:r w:rsidR="0078137C">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by guiding diuretic therapy or predicting response to specific neurohormonal antagonists. Finally, research in Middle Eastern populations remains sparse; further studies from this region are needed to establish region</w:t>
      </w:r>
      <w:r w:rsidRPr="00EC7F67">
        <w:rPr>
          <w:rFonts w:ascii="Arial" w:eastAsia="Times New Roman" w:hAnsi="Arial" w:cs="Arial"/>
          <w:color w:val="0F1115"/>
          <w:kern w:val="0"/>
          <w:sz w:val="20"/>
          <w:szCs w:val="20"/>
          <w:lang w:eastAsia="en-GB"/>
          <w14:ligatures w14:val="none"/>
        </w:rPr>
        <w:noBreakHyphen/>
        <w:t>specific reference ranges and cut</w:t>
      </w:r>
      <w:r w:rsidRPr="00EC7F67">
        <w:rPr>
          <w:rFonts w:ascii="Arial" w:eastAsia="Times New Roman" w:hAnsi="Arial" w:cs="Arial"/>
          <w:color w:val="0F1115"/>
          <w:kern w:val="0"/>
          <w:sz w:val="20"/>
          <w:szCs w:val="20"/>
          <w:lang w:eastAsia="en-GB"/>
          <w14:ligatures w14:val="none"/>
        </w:rPr>
        <w:noBreakHyphen/>
        <w:t>off values.</w:t>
      </w:r>
    </w:p>
    <w:p w14:paraId="5454DC23" w14:textId="24067EB6" w:rsidR="00D73BFC" w:rsidRPr="00EC7F67" w:rsidRDefault="00D73BFC" w:rsidP="00EC7F67">
      <w:pPr>
        <w:spacing w:after="0" w:line="240" w:lineRule="auto"/>
        <w:jc w:val="both"/>
        <w:rPr>
          <w:rFonts w:ascii="Arial" w:eastAsia="Times New Roman" w:hAnsi="Arial" w:cs="Arial"/>
          <w:kern w:val="0"/>
          <w:sz w:val="20"/>
          <w:szCs w:val="20"/>
          <w:lang w:eastAsia="en-GB"/>
          <w14:ligatures w14:val="none"/>
        </w:rPr>
      </w:pPr>
    </w:p>
    <w:p w14:paraId="568E1D81" w14:textId="77777777" w:rsidR="00D73BFC" w:rsidRPr="00EC7F67" w:rsidRDefault="00D73BFC" w:rsidP="00EC7F67">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EC7F67">
        <w:rPr>
          <w:rFonts w:ascii="Arial" w:eastAsia="Times New Roman" w:hAnsi="Arial" w:cs="Arial"/>
          <w:b/>
          <w:bCs/>
          <w:color w:val="0F1115"/>
          <w:kern w:val="0"/>
          <w:sz w:val="20"/>
          <w:szCs w:val="20"/>
          <w:lang w:eastAsia="en-GB"/>
          <w14:ligatures w14:val="none"/>
        </w:rPr>
        <w:t>Conclusion</w:t>
      </w:r>
    </w:p>
    <w:p w14:paraId="250EC232" w14:textId="77777777"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NT</w:t>
      </w:r>
      <w:r w:rsidRPr="00EC7F67">
        <w:rPr>
          <w:rFonts w:ascii="Arial" w:eastAsia="Times New Roman" w:hAnsi="Arial" w:cs="Arial"/>
          <w:color w:val="0F1115"/>
          <w:kern w:val="0"/>
          <w:sz w:val="20"/>
          <w:szCs w:val="20"/>
          <w:lang w:eastAsia="en-GB"/>
          <w14:ligatures w14:val="none"/>
        </w:rPr>
        <w:noBreakHyphen/>
        <w:t>proBNP and copeptin demonstrated complementary roles in the evaluation of HF. NT</w:t>
      </w:r>
      <w:r w:rsidRPr="00EC7F67">
        <w:rPr>
          <w:rFonts w:ascii="Arial" w:eastAsia="Times New Roman" w:hAnsi="Arial" w:cs="Arial"/>
          <w:color w:val="0F1115"/>
          <w:kern w:val="0"/>
          <w:sz w:val="20"/>
          <w:szCs w:val="20"/>
          <w:lang w:eastAsia="en-GB"/>
          <w14:ligatures w14:val="none"/>
        </w:rPr>
        <w:noBreakHyphen/>
        <w:t>proBNP showed stronger overall diagnostic and severity</w:t>
      </w:r>
      <w:r w:rsidRPr="00EC7F67">
        <w:rPr>
          <w:rFonts w:ascii="Arial" w:eastAsia="Times New Roman" w:hAnsi="Arial" w:cs="Arial"/>
          <w:color w:val="0F1115"/>
          <w:kern w:val="0"/>
          <w:sz w:val="20"/>
          <w:szCs w:val="20"/>
          <w:lang w:eastAsia="en-GB"/>
          <w14:ligatures w14:val="none"/>
        </w:rPr>
        <w:noBreakHyphen/>
        <w:t>related performance, with greater specificity and a significant association with systolic dysfunction severity, indicating its close relationship with cardiac impairment. Copeptin, in contrast, showed higher sensitivity and remained an independent predictor of HF in the binary model, suggesting value in case detection and in reflecting broader neurohormonal stress. The combined ROC and regression findings indicate that these biomarkers provide non</w:t>
      </w:r>
      <w:r w:rsidRPr="00EC7F67">
        <w:rPr>
          <w:rFonts w:ascii="Arial" w:eastAsia="Times New Roman" w:hAnsi="Arial" w:cs="Arial"/>
          <w:color w:val="0F1115"/>
          <w:kern w:val="0"/>
          <w:sz w:val="20"/>
          <w:szCs w:val="20"/>
          <w:lang w:eastAsia="en-GB"/>
          <w14:ligatures w14:val="none"/>
        </w:rPr>
        <w:noBreakHyphen/>
        <w:t>overlapping clinical information and may be more informative when interpreted together rather than in isolation. Accordingly, a multimarker approach incorporating NT</w:t>
      </w:r>
      <w:r w:rsidRPr="00EC7F67">
        <w:rPr>
          <w:rFonts w:ascii="Arial" w:eastAsia="Times New Roman" w:hAnsi="Arial" w:cs="Arial"/>
          <w:color w:val="0F1115"/>
          <w:kern w:val="0"/>
          <w:sz w:val="20"/>
          <w:szCs w:val="20"/>
          <w:lang w:eastAsia="en-GB"/>
          <w14:ligatures w14:val="none"/>
        </w:rPr>
        <w:noBreakHyphen/>
        <w:t>proBNP and copeptin may improve diagnostic accuracy and enhance clinical assessment in HF.</w:t>
      </w:r>
    </w:p>
    <w:p w14:paraId="423CB3F5" w14:textId="772F170B" w:rsidR="00D73BFC" w:rsidRPr="00EC7F67" w:rsidRDefault="00D73BFC" w:rsidP="00EC7F67">
      <w:pPr>
        <w:spacing w:after="0" w:line="240" w:lineRule="auto"/>
        <w:jc w:val="both"/>
        <w:rPr>
          <w:rFonts w:ascii="Arial" w:eastAsia="Times New Roman" w:hAnsi="Arial" w:cs="Arial"/>
          <w:kern w:val="0"/>
          <w:sz w:val="20"/>
          <w:szCs w:val="20"/>
          <w:lang w:eastAsia="en-GB"/>
          <w14:ligatures w14:val="none"/>
        </w:rPr>
      </w:pPr>
    </w:p>
    <w:p w14:paraId="2DD095E5" w14:textId="77777777" w:rsidR="00D73BFC" w:rsidRPr="00EC7F67" w:rsidRDefault="00D73BFC" w:rsidP="00EC7F67">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EC7F67">
        <w:rPr>
          <w:rFonts w:ascii="Arial" w:eastAsia="Times New Roman" w:hAnsi="Arial" w:cs="Arial"/>
          <w:b/>
          <w:bCs/>
          <w:color w:val="0F1115"/>
          <w:kern w:val="0"/>
          <w:sz w:val="20"/>
          <w:szCs w:val="20"/>
          <w:lang w:eastAsia="en-GB"/>
          <w14:ligatures w14:val="none"/>
        </w:rPr>
        <w:t>List of Abbreviations</w:t>
      </w:r>
    </w:p>
    <w:p w14:paraId="26DFFBA5" w14:textId="4E8841FC"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ACS</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Acute coronary syndrome</w:t>
      </w:r>
    </w:p>
    <w:p w14:paraId="79C5AA6D" w14:textId="0CDB2E07"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ANOVA</w:t>
      </w:r>
      <w:r w:rsidR="00683094">
        <w:rPr>
          <w:rFonts w:ascii="Arial" w:eastAsia="Times New Roman" w:hAnsi="Arial" w:cs="Arial"/>
          <w:kern w:val="0"/>
          <w:sz w:val="20"/>
          <w:szCs w:val="20"/>
          <w:lang w:eastAsia="en-GB"/>
          <w14:ligatures w14:val="none"/>
        </w:rPr>
        <w:t>:</w:t>
      </w:r>
      <w:r w:rsidR="00FA7738">
        <w:rPr>
          <w:rFonts w:ascii="Arial" w:eastAsia="Times New Roman" w:hAnsi="Arial" w:cs="Arial"/>
          <w:kern w:val="0"/>
          <w:sz w:val="20"/>
          <w:szCs w:val="20"/>
          <w:lang w:eastAsia="en-GB"/>
          <w14:ligatures w14:val="none"/>
        </w:rPr>
        <w:t xml:space="preserve"> </w:t>
      </w:r>
      <w:r w:rsidRPr="0078137C">
        <w:rPr>
          <w:rFonts w:ascii="Arial" w:eastAsia="Times New Roman" w:hAnsi="Arial" w:cs="Arial"/>
          <w:kern w:val="0"/>
          <w:sz w:val="20"/>
          <w:szCs w:val="20"/>
          <w:lang w:eastAsia="en-GB"/>
          <w14:ligatures w14:val="none"/>
        </w:rPr>
        <w:t>Analysis of variance</w:t>
      </w:r>
    </w:p>
    <w:p w14:paraId="2F280E5C" w14:textId="7FD19181"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AUC</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Area under the curve</w:t>
      </w:r>
    </w:p>
    <w:p w14:paraId="2EBBB584" w14:textId="02E4D072"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AVP</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Arginine vasopressin</w:t>
      </w:r>
    </w:p>
    <w:p w14:paraId="722F577A" w14:textId="41EB2B65"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BMI</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Body mass index</w:t>
      </w:r>
    </w:p>
    <w:p w14:paraId="1D3BCAF3" w14:textId="0ECD1C77"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BNP</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00683094">
        <w:rPr>
          <w:rFonts w:ascii="Arial" w:eastAsia="Times New Roman" w:hAnsi="Arial" w:cs="Arial"/>
          <w:kern w:val="0"/>
          <w:sz w:val="20"/>
          <w:szCs w:val="20"/>
          <w:lang w:eastAsia="en-GB"/>
          <w14:ligatures w14:val="none"/>
        </w:rPr>
        <w:t>B-type</w:t>
      </w:r>
      <w:r w:rsidRPr="0078137C">
        <w:rPr>
          <w:rFonts w:ascii="Arial" w:eastAsia="Times New Roman" w:hAnsi="Arial" w:cs="Arial"/>
          <w:kern w:val="0"/>
          <w:sz w:val="20"/>
          <w:szCs w:val="20"/>
          <w:lang w:eastAsia="en-GB"/>
          <w14:ligatures w14:val="none"/>
        </w:rPr>
        <w:t xml:space="preserve"> natriuretic peptide</w:t>
      </w:r>
    </w:p>
    <w:p w14:paraId="19E587D9" w14:textId="6D9C5BA2"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CHD</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Coronary heart disease</w:t>
      </w:r>
    </w:p>
    <w:p w14:paraId="159952D2" w14:textId="5F30E138"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CI</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Confidence interval</w:t>
      </w:r>
    </w:p>
    <w:p w14:paraId="360B049A" w14:textId="4B85AB5C"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CV</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Coefficient of variation</w:t>
      </w:r>
    </w:p>
    <w:p w14:paraId="5FBC5844" w14:textId="763FABFE"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ECG</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Electrocardiogram</w:t>
      </w:r>
    </w:p>
    <w:p w14:paraId="57931E1D" w14:textId="00B81C84"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ELISA</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00683094">
        <w:rPr>
          <w:rFonts w:ascii="Arial" w:eastAsia="Times New Roman" w:hAnsi="Arial" w:cs="Arial"/>
          <w:kern w:val="0"/>
          <w:sz w:val="20"/>
          <w:szCs w:val="20"/>
          <w:lang w:eastAsia="en-GB"/>
          <w14:ligatures w14:val="none"/>
        </w:rPr>
        <w:t>Enzyme-linked</w:t>
      </w:r>
      <w:r w:rsidRPr="0078137C">
        <w:rPr>
          <w:rFonts w:ascii="Arial" w:eastAsia="Times New Roman" w:hAnsi="Arial" w:cs="Arial"/>
          <w:kern w:val="0"/>
          <w:sz w:val="20"/>
          <w:szCs w:val="20"/>
          <w:lang w:eastAsia="en-GB"/>
          <w14:ligatures w14:val="none"/>
        </w:rPr>
        <w:t xml:space="preserve"> immunosorbent assay</w:t>
      </w:r>
    </w:p>
    <w:p w14:paraId="41F73094" w14:textId="2BCFFCD5"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HF</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Heart failure</w:t>
      </w:r>
    </w:p>
    <w:p w14:paraId="430F62C6" w14:textId="4F816BD4"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HFpEF</w:t>
      </w:r>
      <w:r w:rsidR="00683094">
        <w:rPr>
          <w:rFonts w:ascii="Arial" w:eastAsia="Times New Roman" w:hAnsi="Arial" w:cs="Arial"/>
          <w:kern w:val="0"/>
          <w:sz w:val="20"/>
          <w:szCs w:val="20"/>
          <w:lang w:eastAsia="en-GB"/>
          <w14:ligatures w14:val="none"/>
        </w:rPr>
        <w:t>:</w:t>
      </w:r>
      <w:r w:rsidR="006252DB">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 xml:space="preserve">Heart failure with preserved ejection </w:t>
      </w:r>
      <w:r w:rsidR="00FA7738">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fraction</w:t>
      </w:r>
    </w:p>
    <w:p w14:paraId="404D2AEF" w14:textId="659B7613"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HDL C</w:t>
      </w:r>
      <w:r w:rsidR="00683094">
        <w:rPr>
          <w:rFonts w:ascii="Arial" w:eastAsia="Times New Roman" w:hAnsi="Arial" w:cs="Arial"/>
          <w:kern w:val="0"/>
          <w:sz w:val="20"/>
          <w:szCs w:val="20"/>
          <w:lang w:eastAsia="en-GB"/>
          <w14:ligatures w14:val="none"/>
        </w:rPr>
        <w:t>:</w:t>
      </w:r>
      <w:r w:rsidR="006252DB">
        <w:rPr>
          <w:rFonts w:ascii="Arial" w:eastAsia="Times New Roman" w:hAnsi="Arial" w:cs="Arial"/>
          <w:kern w:val="0"/>
          <w:sz w:val="20"/>
          <w:szCs w:val="20"/>
          <w:lang w:eastAsia="en-GB"/>
          <w14:ligatures w14:val="none"/>
        </w:rPr>
        <w:tab/>
      </w:r>
      <w:r w:rsidR="00683094">
        <w:rPr>
          <w:rFonts w:ascii="Arial" w:eastAsia="Times New Roman" w:hAnsi="Arial" w:cs="Arial"/>
          <w:kern w:val="0"/>
          <w:sz w:val="20"/>
          <w:szCs w:val="20"/>
          <w:lang w:eastAsia="en-GB"/>
          <w14:ligatures w14:val="none"/>
        </w:rPr>
        <w:t>High-density</w:t>
      </w:r>
      <w:r w:rsidRPr="0078137C">
        <w:rPr>
          <w:rFonts w:ascii="Arial" w:eastAsia="Times New Roman" w:hAnsi="Arial" w:cs="Arial"/>
          <w:kern w:val="0"/>
          <w:sz w:val="20"/>
          <w:szCs w:val="20"/>
          <w:lang w:eastAsia="en-GB"/>
          <w14:ligatures w14:val="none"/>
        </w:rPr>
        <w:t xml:space="preserve"> lipoprotein cholesterol</w:t>
      </w:r>
    </w:p>
    <w:p w14:paraId="6B74E6F7" w14:textId="5D1D27AF"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LDL C</w:t>
      </w:r>
      <w:r w:rsidR="00683094">
        <w:rPr>
          <w:rFonts w:ascii="Arial" w:eastAsia="Times New Roman" w:hAnsi="Arial" w:cs="Arial"/>
          <w:kern w:val="0"/>
          <w:sz w:val="20"/>
          <w:szCs w:val="20"/>
          <w:lang w:eastAsia="en-GB"/>
          <w14:ligatures w14:val="none"/>
        </w:rPr>
        <w:t>:</w:t>
      </w:r>
      <w:r w:rsidR="006252DB">
        <w:rPr>
          <w:rFonts w:ascii="Arial" w:eastAsia="Times New Roman" w:hAnsi="Arial" w:cs="Arial"/>
          <w:kern w:val="0"/>
          <w:sz w:val="20"/>
          <w:szCs w:val="20"/>
          <w:lang w:eastAsia="en-GB"/>
          <w14:ligatures w14:val="none"/>
        </w:rPr>
        <w:tab/>
      </w:r>
      <w:r w:rsidR="00683094">
        <w:rPr>
          <w:rFonts w:ascii="Arial" w:eastAsia="Times New Roman" w:hAnsi="Arial" w:cs="Arial"/>
          <w:kern w:val="0"/>
          <w:sz w:val="20"/>
          <w:szCs w:val="20"/>
          <w:lang w:eastAsia="en-GB"/>
          <w14:ligatures w14:val="none"/>
        </w:rPr>
        <w:t>Low-density</w:t>
      </w:r>
      <w:r w:rsidRPr="0078137C">
        <w:rPr>
          <w:rFonts w:ascii="Arial" w:eastAsia="Times New Roman" w:hAnsi="Arial" w:cs="Arial"/>
          <w:kern w:val="0"/>
          <w:sz w:val="20"/>
          <w:szCs w:val="20"/>
          <w:lang w:eastAsia="en-GB"/>
          <w14:ligatures w14:val="none"/>
        </w:rPr>
        <w:t xml:space="preserve"> lipoprotein cholesterol</w:t>
      </w:r>
    </w:p>
    <w:p w14:paraId="7ECD9141" w14:textId="00F18D1F"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LVEF</w:t>
      </w:r>
      <w:r w:rsidR="00683094">
        <w:rPr>
          <w:rFonts w:ascii="Arial" w:eastAsia="Times New Roman" w:hAnsi="Arial" w:cs="Arial"/>
          <w:kern w:val="0"/>
          <w:sz w:val="20"/>
          <w:szCs w:val="20"/>
          <w:lang w:eastAsia="en-GB"/>
          <w14:ligatures w14:val="none"/>
        </w:rPr>
        <w:t>:</w:t>
      </w:r>
      <w:r w:rsidR="006252DB">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Left ventricular ejection fraction</w:t>
      </w:r>
    </w:p>
    <w:p w14:paraId="2F4A70D0" w14:textId="0E2D821D"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NT proBNP</w:t>
      </w:r>
      <w:r w:rsidR="00683094">
        <w:rPr>
          <w:rFonts w:ascii="Arial" w:eastAsia="Times New Roman" w:hAnsi="Arial" w:cs="Arial"/>
          <w:kern w:val="0"/>
          <w:sz w:val="20"/>
          <w:szCs w:val="20"/>
          <w:lang w:eastAsia="en-GB"/>
          <w14:ligatures w14:val="none"/>
        </w:rPr>
        <w:t>:</w:t>
      </w:r>
      <w:r w:rsidR="00B44296">
        <w:rPr>
          <w:rFonts w:ascii="Arial" w:eastAsia="Times New Roman" w:hAnsi="Arial" w:cs="Arial"/>
          <w:kern w:val="0"/>
          <w:sz w:val="20"/>
          <w:szCs w:val="20"/>
          <w:lang w:eastAsia="en-GB"/>
          <w14:ligatures w14:val="none"/>
        </w:rPr>
        <w:t xml:space="preserve"> </w:t>
      </w:r>
      <w:r w:rsidR="006B6F36">
        <w:rPr>
          <w:rFonts w:ascii="Arial" w:eastAsia="Times New Roman" w:hAnsi="Arial" w:cs="Arial"/>
          <w:kern w:val="0"/>
          <w:sz w:val="20"/>
          <w:szCs w:val="20"/>
          <w:lang w:eastAsia="en-GB"/>
          <w14:ligatures w14:val="none"/>
        </w:rPr>
        <w:t>N-terminal</w:t>
      </w:r>
      <w:r w:rsidRPr="0078137C">
        <w:rPr>
          <w:rFonts w:ascii="Arial" w:eastAsia="Times New Roman" w:hAnsi="Arial" w:cs="Arial"/>
          <w:kern w:val="0"/>
          <w:sz w:val="20"/>
          <w:szCs w:val="20"/>
          <w:lang w:eastAsia="en-GB"/>
          <w14:ligatures w14:val="none"/>
        </w:rPr>
        <w:t xml:space="preserve"> pro </w:t>
      </w:r>
      <w:r w:rsidR="006B6F36">
        <w:rPr>
          <w:rFonts w:ascii="Arial" w:eastAsia="Times New Roman" w:hAnsi="Arial" w:cs="Arial"/>
          <w:kern w:val="0"/>
          <w:sz w:val="20"/>
          <w:szCs w:val="20"/>
          <w:lang w:eastAsia="en-GB"/>
          <w14:ligatures w14:val="none"/>
        </w:rPr>
        <w:t>B-type</w:t>
      </w:r>
      <w:r w:rsidRPr="0078137C">
        <w:rPr>
          <w:rFonts w:ascii="Arial" w:eastAsia="Times New Roman" w:hAnsi="Arial" w:cs="Arial"/>
          <w:kern w:val="0"/>
          <w:sz w:val="20"/>
          <w:szCs w:val="20"/>
          <w:lang w:eastAsia="en-GB"/>
          <w14:ligatures w14:val="none"/>
        </w:rPr>
        <w:t xml:space="preserve"> natriuretic </w:t>
      </w:r>
      <w:r w:rsidR="00B44296">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peptide</w:t>
      </w:r>
    </w:p>
    <w:p w14:paraId="55D69B53" w14:textId="27FE4F0E"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OR</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Odds ratio</w:t>
      </w:r>
    </w:p>
    <w:p w14:paraId="2511AF19" w14:textId="3DE599A7"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RAAS</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Renin angiotensin aldosterone system</w:t>
      </w:r>
    </w:p>
    <w:p w14:paraId="327713CC" w14:textId="5779E3A0"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ROC</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Receiver operating characteristic</w:t>
      </w:r>
    </w:p>
    <w:p w14:paraId="1D3F380D" w14:textId="77627512"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SD</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Standard deviation</w:t>
      </w:r>
    </w:p>
    <w:p w14:paraId="1D561461" w14:textId="02E54E55"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SPSS</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 xml:space="preserve">Statistical Package for the Social </w:t>
      </w:r>
      <w:r w:rsidR="00B44296">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Sciences</w:t>
      </w:r>
    </w:p>
    <w:p w14:paraId="0A5895EC" w14:textId="5ACDDE07" w:rsidR="0078137C" w:rsidRPr="0078137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TG</w:t>
      </w:r>
      <w:r w:rsidR="00683094">
        <w:rPr>
          <w:rFonts w:ascii="Arial" w:eastAsia="Times New Roman" w:hAnsi="Arial" w:cs="Arial"/>
          <w:kern w:val="0"/>
          <w:sz w:val="20"/>
          <w:szCs w:val="20"/>
          <w:lang w:eastAsia="en-GB"/>
          <w14:ligatures w14:val="none"/>
        </w:rPr>
        <w:t>:</w:t>
      </w:r>
      <w:r w:rsidR="00155D83">
        <w:rPr>
          <w:rFonts w:ascii="Arial" w:eastAsia="Times New Roman" w:hAnsi="Arial" w:cs="Arial"/>
          <w:kern w:val="0"/>
          <w:sz w:val="20"/>
          <w:szCs w:val="20"/>
          <w:lang w:eastAsia="en-GB"/>
          <w14:ligatures w14:val="none"/>
        </w:rPr>
        <w:tab/>
      </w:r>
      <w:r w:rsidRPr="0078137C">
        <w:rPr>
          <w:rFonts w:ascii="Arial" w:eastAsia="Times New Roman" w:hAnsi="Arial" w:cs="Arial"/>
          <w:kern w:val="0"/>
          <w:sz w:val="20"/>
          <w:szCs w:val="20"/>
          <w:lang w:eastAsia="en-GB"/>
          <w14:ligatures w14:val="none"/>
        </w:rPr>
        <w:t>Triglycerides</w:t>
      </w:r>
    </w:p>
    <w:p w14:paraId="0CC2D70D" w14:textId="7C4DA618" w:rsidR="00D73BFC" w:rsidRDefault="0078137C" w:rsidP="0078137C">
      <w:pPr>
        <w:spacing w:after="0" w:line="240" w:lineRule="auto"/>
        <w:jc w:val="both"/>
        <w:rPr>
          <w:rFonts w:ascii="Arial" w:eastAsia="Times New Roman" w:hAnsi="Arial" w:cs="Arial"/>
          <w:kern w:val="0"/>
          <w:sz w:val="20"/>
          <w:szCs w:val="20"/>
          <w:lang w:eastAsia="en-GB"/>
          <w14:ligatures w14:val="none"/>
        </w:rPr>
      </w:pPr>
      <w:r w:rsidRPr="0078137C">
        <w:rPr>
          <w:rFonts w:ascii="Arial" w:eastAsia="Times New Roman" w:hAnsi="Arial" w:cs="Arial"/>
          <w:kern w:val="0"/>
          <w:sz w:val="20"/>
          <w:szCs w:val="20"/>
          <w:lang w:eastAsia="en-GB"/>
          <w14:ligatures w14:val="none"/>
        </w:rPr>
        <w:t>VLDL</w:t>
      </w:r>
      <w:r w:rsidR="00683094">
        <w:rPr>
          <w:rFonts w:ascii="Arial" w:eastAsia="Times New Roman" w:hAnsi="Arial" w:cs="Arial"/>
          <w:kern w:val="0"/>
          <w:sz w:val="20"/>
          <w:szCs w:val="20"/>
          <w:lang w:eastAsia="en-GB"/>
          <w14:ligatures w14:val="none"/>
        </w:rPr>
        <w:t>-</w:t>
      </w:r>
      <w:r w:rsidRPr="0078137C">
        <w:rPr>
          <w:rFonts w:ascii="Arial" w:eastAsia="Times New Roman" w:hAnsi="Arial" w:cs="Arial"/>
          <w:kern w:val="0"/>
          <w:sz w:val="20"/>
          <w:szCs w:val="20"/>
          <w:lang w:eastAsia="en-GB"/>
          <w14:ligatures w14:val="none"/>
        </w:rPr>
        <w:t>C</w:t>
      </w:r>
      <w:r w:rsidR="00683094">
        <w:rPr>
          <w:rFonts w:ascii="Arial" w:eastAsia="Times New Roman" w:hAnsi="Arial" w:cs="Arial"/>
          <w:kern w:val="0"/>
          <w:sz w:val="20"/>
          <w:szCs w:val="20"/>
          <w:lang w:eastAsia="en-GB"/>
          <w14:ligatures w14:val="none"/>
        </w:rPr>
        <w:t>:</w:t>
      </w:r>
      <w:r w:rsidR="00B44296">
        <w:rPr>
          <w:rFonts w:ascii="Arial" w:eastAsia="Times New Roman" w:hAnsi="Arial" w:cs="Arial"/>
          <w:kern w:val="0"/>
          <w:sz w:val="20"/>
          <w:szCs w:val="20"/>
          <w:lang w:eastAsia="en-GB"/>
          <w14:ligatures w14:val="none"/>
        </w:rPr>
        <w:t xml:space="preserve"> </w:t>
      </w:r>
      <w:r w:rsidRPr="0078137C">
        <w:rPr>
          <w:rFonts w:ascii="Arial" w:eastAsia="Times New Roman" w:hAnsi="Arial" w:cs="Arial"/>
          <w:kern w:val="0"/>
          <w:sz w:val="20"/>
          <w:szCs w:val="20"/>
          <w:lang w:eastAsia="en-GB"/>
          <w14:ligatures w14:val="none"/>
        </w:rPr>
        <w:t xml:space="preserve">Very </w:t>
      </w:r>
      <w:r w:rsidR="001D426B" w:rsidRPr="0078137C">
        <w:rPr>
          <w:rFonts w:ascii="Arial" w:eastAsia="Times New Roman" w:hAnsi="Arial" w:cs="Arial"/>
          <w:kern w:val="0"/>
          <w:sz w:val="20"/>
          <w:szCs w:val="20"/>
          <w:lang w:eastAsia="en-GB"/>
          <w14:ligatures w14:val="none"/>
        </w:rPr>
        <w:t>low-density</w:t>
      </w:r>
      <w:r w:rsidRPr="0078137C">
        <w:rPr>
          <w:rFonts w:ascii="Arial" w:eastAsia="Times New Roman" w:hAnsi="Arial" w:cs="Arial"/>
          <w:kern w:val="0"/>
          <w:sz w:val="20"/>
          <w:szCs w:val="20"/>
          <w:lang w:eastAsia="en-GB"/>
          <w14:ligatures w14:val="none"/>
        </w:rPr>
        <w:t xml:space="preserve"> lipoprotein cholesterol</w:t>
      </w:r>
    </w:p>
    <w:p w14:paraId="439E5897" w14:textId="77777777" w:rsidR="0078137C" w:rsidRPr="00EC7F67" w:rsidRDefault="0078137C" w:rsidP="00EC7F67">
      <w:pPr>
        <w:spacing w:after="0" w:line="240" w:lineRule="auto"/>
        <w:jc w:val="both"/>
        <w:rPr>
          <w:rFonts w:ascii="Arial" w:eastAsia="Times New Roman" w:hAnsi="Arial" w:cs="Arial"/>
          <w:kern w:val="0"/>
          <w:sz w:val="20"/>
          <w:szCs w:val="20"/>
          <w:lang w:eastAsia="en-GB"/>
          <w14:ligatures w14:val="none"/>
        </w:rPr>
      </w:pPr>
    </w:p>
    <w:p w14:paraId="29C0C28C" w14:textId="77777777" w:rsidR="00D73BFC" w:rsidRPr="00EC7F67" w:rsidRDefault="00D73BFC" w:rsidP="00EC7F67">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EC7F67">
        <w:rPr>
          <w:rFonts w:ascii="Arial" w:eastAsia="Times New Roman" w:hAnsi="Arial" w:cs="Arial"/>
          <w:b/>
          <w:bCs/>
          <w:color w:val="0F1115"/>
          <w:kern w:val="0"/>
          <w:sz w:val="20"/>
          <w:szCs w:val="20"/>
          <w:lang w:eastAsia="en-GB"/>
          <w14:ligatures w14:val="none"/>
        </w:rPr>
        <w:t>Declarations</w:t>
      </w:r>
    </w:p>
    <w:p w14:paraId="62F450DF" w14:textId="77777777" w:rsidR="00D73BFC" w:rsidRPr="00682961"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682961">
        <w:rPr>
          <w:rFonts w:ascii="Arial" w:eastAsia="Times New Roman" w:hAnsi="Arial" w:cs="Arial"/>
          <w:i/>
          <w:iCs/>
          <w:color w:val="0F1115"/>
          <w:kern w:val="0"/>
          <w:sz w:val="20"/>
          <w:szCs w:val="20"/>
          <w:lang w:eastAsia="en-GB"/>
          <w14:ligatures w14:val="none"/>
        </w:rPr>
        <w:t>Ethics Approval and Consent to Participate</w:t>
      </w:r>
    </w:p>
    <w:p w14:paraId="51CF56F3" w14:textId="319BA31F"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The study was conducted in accordance with the Declaration of Helsinki and received ethical approval from the Scientific Committee of the Department of Chemistry and Biochemistry, College of Medicine, University of Babylon (approval document number: 5071; date: 18 September 2025). Verbal informed consent was obtained from all participants after the study’s objectives and methodology were thoroughly explained. The ethics committee approved the use of verbal consent because the study involved only blood sampling and questionnaire data, posed minimal risk, and was conducted in a population with low literacy rates</w:t>
      </w:r>
      <w:r w:rsidR="00682961">
        <w:rPr>
          <w:rFonts w:ascii="Arial" w:eastAsia="Times New Roman" w:hAnsi="Arial" w:cs="Arial"/>
          <w:color w:val="0F1115"/>
          <w:kern w:val="0"/>
          <w:sz w:val="20"/>
          <w:szCs w:val="20"/>
          <w:lang w:eastAsia="en-GB"/>
          <w14:ligatures w14:val="none"/>
        </w:rPr>
        <w:t>,</w:t>
      </w:r>
      <w:r w:rsidRPr="00EC7F67">
        <w:rPr>
          <w:rFonts w:ascii="Arial" w:eastAsia="Times New Roman" w:hAnsi="Arial" w:cs="Arial"/>
          <w:color w:val="0F1115"/>
          <w:kern w:val="0"/>
          <w:sz w:val="20"/>
          <w:szCs w:val="20"/>
          <w:lang w:eastAsia="en-GB"/>
          <w14:ligatures w14:val="none"/>
        </w:rPr>
        <w:t xml:space="preserve"> where written consent could be a barrier to participation.</w:t>
      </w:r>
    </w:p>
    <w:p w14:paraId="0857F697" w14:textId="77777777" w:rsidR="00682961" w:rsidRPr="00EC7F67" w:rsidRDefault="00682961"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A477D40" w14:textId="77777777" w:rsidR="00D73BFC" w:rsidRPr="00682961"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682961">
        <w:rPr>
          <w:rFonts w:ascii="Arial" w:eastAsia="Times New Roman" w:hAnsi="Arial" w:cs="Arial"/>
          <w:i/>
          <w:iCs/>
          <w:color w:val="0F1115"/>
          <w:kern w:val="0"/>
          <w:sz w:val="20"/>
          <w:szCs w:val="20"/>
          <w:lang w:eastAsia="en-GB"/>
          <w14:ligatures w14:val="none"/>
        </w:rPr>
        <w:t>Consent for Publication</w:t>
      </w:r>
    </w:p>
    <w:p w14:paraId="439CB2FA" w14:textId="77777777"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All authors gave consent for the publication of this work under the Creative Commons Attribution Non</w:t>
      </w:r>
      <w:r w:rsidRPr="00EC7F67">
        <w:rPr>
          <w:rFonts w:ascii="Arial" w:eastAsia="Times New Roman" w:hAnsi="Arial" w:cs="Arial"/>
          <w:color w:val="0F1115"/>
          <w:kern w:val="0"/>
          <w:sz w:val="20"/>
          <w:szCs w:val="20"/>
          <w:lang w:eastAsia="en-GB"/>
          <w14:ligatures w14:val="none"/>
        </w:rPr>
        <w:noBreakHyphen/>
        <w:t>Commercial 4.0 license.</w:t>
      </w:r>
    </w:p>
    <w:p w14:paraId="214A8C4B" w14:textId="77777777" w:rsidR="00682961" w:rsidRPr="00EC7F67" w:rsidRDefault="00682961"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D8AF988" w14:textId="77777777" w:rsidR="00D73BFC" w:rsidRPr="00682961"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682961">
        <w:rPr>
          <w:rFonts w:ascii="Arial" w:eastAsia="Times New Roman" w:hAnsi="Arial" w:cs="Arial"/>
          <w:i/>
          <w:iCs/>
          <w:color w:val="0F1115"/>
          <w:kern w:val="0"/>
          <w:sz w:val="20"/>
          <w:szCs w:val="20"/>
          <w:lang w:eastAsia="en-GB"/>
          <w14:ligatures w14:val="none"/>
        </w:rPr>
        <w:t>Data Availability</w:t>
      </w:r>
    </w:p>
    <w:p w14:paraId="0793D903" w14:textId="77777777"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The datasets generated and/or analysed during the current study are available from the corresponding author on reasonable request.</w:t>
      </w:r>
    </w:p>
    <w:p w14:paraId="261030D3" w14:textId="77777777" w:rsidR="00682961" w:rsidRPr="00EC7F67" w:rsidRDefault="00682961"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DF8EC48" w14:textId="77777777" w:rsidR="00D73BFC" w:rsidRPr="00682961"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682961">
        <w:rPr>
          <w:rFonts w:ascii="Arial" w:eastAsia="Times New Roman" w:hAnsi="Arial" w:cs="Arial"/>
          <w:i/>
          <w:iCs/>
          <w:color w:val="0F1115"/>
          <w:kern w:val="0"/>
          <w:sz w:val="20"/>
          <w:szCs w:val="20"/>
          <w:lang w:eastAsia="en-GB"/>
          <w14:ligatures w14:val="none"/>
        </w:rPr>
        <w:t>Competing Interests</w:t>
      </w:r>
    </w:p>
    <w:p w14:paraId="618D55BA" w14:textId="77777777"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The authors declare that they have no competing interests.</w:t>
      </w:r>
    </w:p>
    <w:p w14:paraId="063618CD" w14:textId="77777777" w:rsidR="00C65C02" w:rsidRPr="00EC7F67" w:rsidRDefault="00C65C02"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61EBD08" w14:textId="00DDD108" w:rsidR="00D73BFC" w:rsidRPr="00C65C02"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C65C02">
        <w:rPr>
          <w:rFonts w:ascii="Arial" w:eastAsia="Times New Roman" w:hAnsi="Arial" w:cs="Arial"/>
          <w:i/>
          <w:iCs/>
          <w:color w:val="0F1115"/>
          <w:kern w:val="0"/>
          <w:sz w:val="20"/>
          <w:szCs w:val="20"/>
          <w:lang w:eastAsia="en-GB"/>
          <w14:ligatures w14:val="none"/>
        </w:rPr>
        <w:t>Funding</w:t>
      </w:r>
    </w:p>
    <w:p w14:paraId="64468411" w14:textId="77777777" w:rsidR="00D73BFC"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This research received no specific grant from any funding agency in the public, commercial or not</w:t>
      </w:r>
      <w:r w:rsidRPr="00EC7F67">
        <w:rPr>
          <w:rFonts w:ascii="Arial" w:eastAsia="Times New Roman" w:hAnsi="Arial" w:cs="Arial"/>
          <w:color w:val="0F1115"/>
          <w:kern w:val="0"/>
          <w:sz w:val="20"/>
          <w:szCs w:val="20"/>
          <w:lang w:eastAsia="en-GB"/>
          <w14:ligatures w14:val="none"/>
        </w:rPr>
        <w:noBreakHyphen/>
        <w:t>for</w:t>
      </w:r>
      <w:r w:rsidRPr="00EC7F67">
        <w:rPr>
          <w:rFonts w:ascii="Arial" w:eastAsia="Times New Roman" w:hAnsi="Arial" w:cs="Arial"/>
          <w:color w:val="0F1115"/>
          <w:kern w:val="0"/>
          <w:sz w:val="20"/>
          <w:szCs w:val="20"/>
          <w:lang w:eastAsia="en-GB"/>
          <w14:ligatures w14:val="none"/>
        </w:rPr>
        <w:noBreakHyphen/>
        <w:t>profit sectors.</w:t>
      </w:r>
    </w:p>
    <w:p w14:paraId="73F54228" w14:textId="77777777" w:rsidR="0011064B" w:rsidRPr="00F80619" w:rsidRDefault="0011064B"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04567CE" w14:textId="2357A22C" w:rsidR="00D73BFC" w:rsidRPr="00682961"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682961">
        <w:rPr>
          <w:rFonts w:ascii="Arial" w:eastAsia="Times New Roman" w:hAnsi="Arial" w:cs="Arial"/>
          <w:i/>
          <w:iCs/>
          <w:color w:val="0F1115"/>
          <w:kern w:val="0"/>
          <w:sz w:val="20"/>
          <w:szCs w:val="20"/>
          <w:lang w:eastAsia="en-GB"/>
          <w14:ligatures w14:val="none"/>
        </w:rPr>
        <w:t>Author Contributions</w:t>
      </w:r>
    </w:p>
    <w:p w14:paraId="6746766F" w14:textId="77777777" w:rsidR="00285F65" w:rsidRDefault="00B32D25" w:rsidP="00B32D25">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B32D25">
        <w:rPr>
          <w:rFonts w:ascii="Arial" w:eastAsia="Times New Roman" w:hAnsi="Arial" w:cs="Arial"/>
          <w:color w:val="0F1115"/>
          <w:kern w:val="0"/>
          <w:sz w:val="20"/>
          <w:szCs w:val="20"/>
          <w:lang w:eastAsia="en-GB"/>
          <w14:ligatures w14:val="none"/>
        </w:rPr>
        <w:t>Z</w:t>
      </w:r>
      <w:r w:rsidR="00D73BFC" w:rsidRPr="00B32D25">
        <w:rPr>
          <w:rFonts w:ascii="Arial" w:eastAsia="Times New Roman" w:hAnsi="Arial" w:cs="Arial"/>
          <w:color w:val="0F1115"/>
          <w:kern w:val="0"/>
          <w:sz w:val="20"/>
          <w:szCs w:val="20"/>
          <w:lang w:eastAsia="en-GB"/>
          <w14:ligatures w14:val="none"/>
        </w:rPr>
        <w:t>MA</w:t>
      </w:r>
      <w:r w:rsidR="006252DB">
        <w:rPr>
          <w:rFonts w:ascii="Arial" w:eastAsia="Times New Roman" w:hAnsi="Arial" w:cs="Arial"/>
          <w:color w:val="0F1115"/>
          <w:kern w:val="0"/>
          <w:sz w:val="20"/>
          <w:szCs w:val="20"/>
          <w:lang w:eastAsia="en-GB"/>
          <w14:ligatures w14:val="none"/>
        </w:rPr>
        <w:t xml:space="preserve"> led the </w:t>
      </w:r>
      <w:r w:rsidR="00285F65" w:rsidRPr="00B32D25">
        <w:rPr>
          <w:rFonts w:ascii="Arial" w:eastAsia="Times New Roman" w:hAnsi="Arial" w:cs="Arial"/>
          <w:color w:val="0F1115"/>
          <w:kern w:val="0"/>
          <w:sz w:val="20"/>
          <w:szCs w:val="20"/>
          <w:lang w:eastAsia="en-GB"/>
          <w14:ligatures w14:val="none"/>
        </w:rPr>
        <w:t>formal analysis</w:t>
      </w:r>
      <w:r w:rsidR="00285F65">
        <w:rPr>
          <w:rFonts w:ascii="Arial" w:eastAsia="Times New Roman" w:hAnsi="Arial" w:cs="Arial"/>
          <w:color w:val="0F1115"/>
          <w:kern w:val="0"/>
          <w:sz w:val="20"/>
          <w:szCs w:val="20"/>
          <w:lang w:eastAsia="en-GB"/>
          <w14:ligatures w14:val="none"/>
        </w:rPr>
        <w:t xml:space="preserve">, </w:t>
      </w:r>
      <w:r w:rsidR="00285F65" w:rsidRPr="00B32D25">
        <w:rPr>
          <w:rFonts w:ascii="Arial" w:eastAsia="Times New Roman" w:hAnsi="Arial" w:cs="Arial"/>
          <w:color w:val="0F1115"/>
          <w:kern w:val="0"/>
          <w:sz w:val="20"/>
          <w:szCs w:val="20"/>
          <w:lang w:eastAsia="en-GB"/>
          <w14:ligatures w14:val="none"/>
        </w:rPr>
        <w:t>resources</w:t>
      </w:r>
      <w:r w:rsidR="00285F65">
        <w:rPr>
          <w:rFonts w:ascii="Arial" w:eastAsia="Times New Roman" w:hAnsi="Arial" w:cs="Arial"/>
          <w:color w:val="0F1115"/>
          <w:kern w:val="0"/>
          <w:sz w:val="20"/>
          <w:szCs w:val="20"/>
          <w:lang w:eastAsia="en-GB"/>
          <w14:ligatures w14:val="none"/>
        </w:rPr>
        <w:t xml:space="preserve">, </w:t>
      </w:r>
      <w:r w:rsidR="00285F65" w:rsidRPr="00B32D25">
        <w:rPr>
          <w:rFonts w:ascii="Arial" w:eastAsia="Times New Roman" w:hAnsi="Arial" w:cs="Arial"/>
          <w:color w:val="0F1115"/>
          <w:kern w:val="0"/>
          <w:sz w:val="20"/>
          <w:szCs w:val="20"/>
          <w:lang w:eastAsia="en-GB"/>
          <w14:ligatures w14:val="none"/>
        </w:rPr>
        <w:t>data curation</w:t>
      </w:r>
      <w:r w:rsidR="00285F65">
        <w:rPr>
          <w:rFonts w:ascii="Arial" w:eastAsia="Times New Roman" w:hAnsi="Arial" w:cs="Arial"/>
          <w:color w:val="0F1115"/>
          <w:kern w:val="0"/>
          <w:sz w:val="20"/>
          <w:szCs w:val="20"/>
          <w:lang w:eastAsia="en-GB"/>
          <w14:ligatures w14:val="none"/>
        </w:rPr>
        <w:t xml:space="preserve">, </w:t>
      </w:r>
      <w:r w:rsidR="00285F65" w:rsidRPr="00B32D25">
        <w:rPr>
          <w:rFonts w:ascii="Arial" w:eastAsia="Times New Roman" w:hAnsi="Arial" w:cs="Arial"/>
          <w:color w:val="0F1115"/>
          <w:kern w:val="0"/>
          <w:sz w:val="20"/>
          <w:szCs w:val="20"/>
          <w:lang w:eastAsia="en-GB"/>
          <w14:ligatures w14:val="none"/>
        </w:rPr>
        <w:t>writing</w:t>
      </w:r>
      <w:r w:rsidR="00285F65">
        <w:rPr>
          <w:rFonts w:ascii="Arial" w:eastAsia="Times New Roman" w:hAnsi="Arial" w:cs="Arial"/>
          <w:color w:val="0F1115"/>
          <w:kern w:val="0"/>
          <w:sz w:val="20"/>
          <w:szCs w:val="20"/>
          <w:lang w:eastAsia="en-GB"/>
          <w14:ligatures w14:val="none"/>
        </w:rPr>
        <w:t xml:space="preserve"> of the</w:t>
      </w:r>
      <w:r w:rsidR="00285F65" w:rsidRPr="00B32D25">
        <w:rPr>
          <w:rFonts w:ascii="Arial" w:eastAsia="Times New Roman" w:hAnsi="Arial" w:cs="Arial"/>
          <w:color w:val="0F1115"/>
          <w:kern w:val="0"/>
          <w:sz w:val="20"/>
          <w:szCs w:val="20"/>
          <w:lang w:eastAsia="en-GB"/>
          <w14:ligatures w14:val="none"/>
        </w:rPr>
        <w:t xml:space="preserve"> original draft</w:t>
      </w:r>
      <w:r w:rsidR="00285F65">
        <w:rPr>
          <w:rFonts w:ascii="Arial" w:eastAsia="Times New Roman" w:hAnsi="Arial" w:cs="Arial"/>
          <w:color w:val="0F1115"/>
          <w:kern w:val="0"/>
          <w:sz w:val="20"/>
          <w:szCs w:val="20"/>
          <w:lang w:eastAsia="en-GB"/>
          <w14:ligatures w14:val="none"/>
        </w:rPr>
        <w:t xml:space="preserve"> and visualisation</w:t>
      </w:r>
      <w:r w:rsidR="006252DB">
        <w:rPr>
          <w:rFonts w:ascii="Arial" w:eastAsia="Times New Roman" w:hAnsi="Arial" w:cs="Arial"/>
          <w:color w:val="0F1115"/>
          <w:kern w:val="0"/>
          <w:sz w:val="20"/>
          <w:szCs w:val="20"/>
          <w:lang w:eastAsia="en-GB"/>
          <w14:ligatures w14:val="none"/>
        </w:rPr>
        <w:t>.</w:t>
      </w:r>
    </w:p>
    <w:p w14:paraId="7866788D" w14:textId="550621AB" w:rsidR="006252DB" w:rsidRDefault="006252DB" w:rsidP="00B32D25">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Pr>
          <w:rFonts w:ascii="Arial" w:eastAsia="Times New Roman" w:hAnsi="Arial" w:cs="Arial"/>
          <w:color w:val="0F1115"/>
          <w:kern w:val="0"/>
          <w:sz w:val="20"/>
          <w:szCs w:val="20"/>
          <w:lang w:eastAsia="en-GB"/>
          <w14:ligatures w14:val="none"/>
        </w:rPr>
        <w:t>AAH and ZMA participated in</w:t>
      </w:r>
      <w:r w:rsidR="00285F65">
        <w:rPr>
          <w:rFonts w:ascii="Arial" w:eastAsia="Times New Roman" w:hAnsi="Arial" w:cs="Arial"/>
          <w:color w:val="0F1115"/>
          <w:kern w:val="0"/>
          <w:sz w:val="20"/>
          <w:szCs w:val="20"/>
          <w:lang w:eastAsia="en-GB"/>
          <w14:ligatures w14:val="none"/>
        </w:rPr>
        <w:t xml:space="preserve"> the conceptualisation,</w:t>
      </w:r>
      <w:r w:rsidR="00285F65" w:rsidRPr="00B32D25">
        <w:rPr>
          <w:rFonts w:ascii="Arial" w:eastAsia="Times New Roman" w:hAnsi="Arial" w:cs="Arial"/>
          <w:color w:val="0F1115"/>
          <w:kern w:val="0"/>
          <w:sz w:val="20"/>
          <w:szCs w:val="20"/>
          <w:lang w:eastAsia="en-GB"/>
          <w14:ligatures w14:val="none"/>
        </w:rPr>
        <w:t xml:space="preserve"> methodology</w:t>
      </w:r>
      <w:r w:rsidR="00285F65">
        <w:rPr>
          <w:rFonts w:ascii="Arial" w:eastAsia="Times New Roman" w:hAnsi="Arial" w:cs="Arial"/>
          <w:color w:val="0F1115"/>
          <w:kern w:val="0"/>
          <w:sz w:val="20"/>
          <w:szCs w:val="20"/>
          <w:lang w:eastAsia="en-GB"/>
          <w14:ligatures w14:val="none"/>
        </w:rPr>
        <w:t xml:space="preserve">, </w:t>
      </w:r>
      <w:r w:rsidR="00285F65" w:rsidRPr="00B32D25">
        <w:rPr>
          <w:rFonts w:ascii="Arial" w:eastAsia="Times New Roman" w:hAnsi="Arial" w:cs="Arial"/>
          <w:color w:val="0F1115"/>
          <w:kern w:val="0"/>
          <w:sz w:val="20"/>
          <w:szCs w:val="20"/>
          <w:lang w:eastAsia="en-GB"/>
          <w14:ligatures w14:val="none"/>
        </w:rPr>
        <w:t>investigation</w:t>
      </w:r>
      <w:r w:rsidR="00285F65">
        <w:rPr>
          <w:rFonts w:ascii="Arial" w:eastAsia="Times New Roman" w:hAnsi="Arial" w:cs="Arial"/>
          <w:color w:val="0F1115"/>
          <w:kern w:val="0"/>
          <w:sz w:val="20"/>
          <w:szCs w:val="20"/>
          <w:lang w:eastAsia="en-GB"/>
          <w14:ligatures w14:val="none"/>
        </w:rPr>
        <w:t xml:space="preserve"> and</w:t>
      </w:r>
      <w:r w:rsidR="00285F65" w:rsidRPr="00B32D25">
        <w:rPr>
          <w:rFonts w:ascii="Arial" w:eastAsia="Times New Roman" w:hAnsi="Arial" w:cs="Arial"/>
          <w:color w:val="0F1115"/>
          <w:kern w:val="0"/>
          <w:sz w:val="20"/>
          <w:szCs w:val="20"/>
          <w:lang w:eastAsia="en-GB"/>
          <w14:ligatures w14:val="none"/>
        </w:rPr>
        <w:t xml:space="preserve"> funding acquisiti</w:t>
      </w:r>
      <w:r w:rsidRPr="00B32D25">
        <w:rPr>
          <w:rFonts w:ascii="Arial" w:eastAsia="Times New Roman" w:hAnsi="Arial" w:cs="Arial"/>
          <w:color w:val="0F1115"/>
          <w:kern w:val="0"/>
          <w:sz w:val="20"/>
          <w:szCs w:val="20"/>
          <w:lang w:eastAsia="en-GB"/>
          <w14:ligatures w14:val="none"/>
        </w:rPr>
        <w:t>on</w:t>
      </w:r>
      <w:r>
        <w:rPr>
          <w:rFonts w:ascii="Arial" w:eastAsia="Times New Roman" w:hAnsi="Arial" w:cs="Arial"/>
          <w:color w:val="0F1115"/>
          <w:kern w:val="0"/>
          <w:sz w:val="20"/>
          <w:szCs w:val="20"/>
          <w:lang w:eastAsia="en-GB"/>
          <w14:ligatures w14:val="none"/>
        </w:rPr>
        <w:t>.</w:t>
      </w:r>
    </w:p>
    <w:p w14:paraId="3BC7BBB9" w14:textId="0A071AFC" w:rsidR="006252DB" w:rsidRDefault="006252DB" w:rsidP="00B32D25">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Pr>
          <w:rFonts w:ascii="Arial" w:eastAsia="Times New Roman" w:hAnsi="Arial" w:cs="Arial"/>
          <w:color w:val="0F1115"/>
          <w:kern w:val="0"/>
          <w:sz w:val="20"/>
          <w:szCs w:val="20"/>
          <w:lang w:eastAsia="en-GB"/>
          <w14:ligatures w14:val="none"/>
        </w:rPr>
        <w:t xml:space="preserve">AAH led the </w:t>
      </w:r>
      <w:r w:rsidR="00285F65" w:rsidRPr="00B32D25">
        <w:rPr>
          <w:rFonts w:ascii="Arial" w:eastAsia="Times New Roman" w:hAnsi="Arial" w:cs="Arial"/>
          <w:color w:val="0F1115"/>
          <w:kern w:val="0"/>
          <w:sz w:val="20"/>
          <w:szCs w:val="20"/>
          <w:lang w:eastAsia="en-GB"/>
          <w14:ligatures w14:val="none"/>
        </w:rPr>
        <w:t>supervision</w:t>
      </w:r>
      <w:r w:rsidR="00285F65">
        <w:rPr>
          <w:rFonts w:ascii="Arial" w:eastAsia="Times New Roman" w:hAnsi="Arial" w:cs="Arial"/>
          <w:color w:val="0F1115"/>
          <w:kern w:val="0"/>
          <w:sz w:val="20"/>
          <w:szCs w:val="20"/>
          <w:lang w:eastAsia="en-GB"/>
          <w14:ligatures w14:val="none"/>
        </w:rPr>
        <w:t xml:space="preserve">, </w:t>
      </w:r>
      <w:r w:rsidR="00285F65" w:rsidRPr="00B32D25">
        <w:rPr>
          <w:rFonts w:ascii="Arial" w:eastAsia="Times New Roman" w:hAnsi="Arial" w:cs="Arial"/>
          <w:color w:val="0F1115"/>
          <w:kern w:val="0"/>
          <w:sz w:val="20"/>
          <w:szCs w:val="20"/>
          <w:lang w:eastAsia="en-GB"/>
          <w14:ligatures w14:val="none"/>
        </w:rPr>
        <w:t>project administration</w:t>
      </w:r>
      <w:r w:rsidR="00285F65">
        <w:rPr>
          <w:rFonts w:ascii="Arial" w:eastAsia="Times New Roman" w:hAnsi="Arial" w:cs="Arial"/>
          <w:color w:val="0F1115"/>
          <w:kern w:val="0"/>
          <w:sz w:val="20"/>
          <w:szCs w:val="20"/>
          <w:lang w:eastAsia="en-GB"/>
          <w14:ligatures w14:val="none"/>
        </w:rPr>
        <w:t xml:space="preserve">, and supported the </w:t>
      </w:r>
      <w:r w:rsidR="00285F65" w:rsidRPr="00B32D25">
        <w:rPr>
          <w:rFonts w:ascii="Arial" w:eastAsia="Times New Roman" w:hAnsi="Arial" w:cs="Arial"/>
          <w:color w:val="0F1115"/>
          <w:kern w:val="0"/>
          <w:sz w:val="20"/>
          <w:szCs w:val="20"/>
          <w:lang w:eastAsia="en-GB"/>
          <w14:ligatures w14:val="none"/>
        </w:rPr>
        <w:t>wri</w:t>
      </w:r>
      <w:r w:rsidR="00D73BFC" w:rsidRPr="00B32D25">
        <w:rPr>
          <w:rFonts w:ascii="Arial" w:eastAsia="Times New Roman" w:hAnsi="Arial" w:cs="Arial"/>
          <w:color w:val="0F1115"/>
          <w:kern w:val="0"/>
          <w:sz w:val="20"/>
          <w:szCs w:val="20"/>
          <w:lang w:eastAsia="en-GB"/>
          <w14:ligatures w14:val="none"/>
        </w:rPr>
        <w:t>ting</w:t>
      </w:r>
      <w:r>
        <w:rPr>
          <w:rFonts w:ascii="Arial" w:eastAsia="Times New Roman" w:hAnsi="Arial" w:cs="Arial"/>
          <w:color w:val="0F1115"/>
          <w:kern w:val="0"/>
          <w:sz w:val="20"/>
          <w:szCs w:val="20"/>
          <w:lang w:eastAsia="en-GB"/>
          <w14:ligatures w14:val="none"/>
        </w:rPr>
        <w:t xml:space="preserve"> of the </w:t>
      </w:r>
      <w:r w:rsidR="00D73BFC" w:rsidRPr="00B32D25">
        <w:rPr>
          <w:rFonts w:ascii="Arial" w:eastAsia="Times New Roman" w:hAnsi="Arial" w:cs="Arial"/>
          <w:color w:val="0F1115"/>
          <w:kern w:val="0"/>
          <w:sz w:val="20"/>
          <w:szCs w:val="20"/>
          <w:lang w:eastAsia="en-GB"/>
          <w14:ligatures w14:val="none"/>
        </w:rPr>
        <w:t>original draft</w:t>
      </w:r>
      <w:r w:rsidR="00285F65">
        <w:rPr>
          <w:rFonts w:ascii="Arial" w:eastAsia="Times New Roman" w:hAnsi="Arial" w:cs="Arial"/>
          <w:color w:val="0F1115"/>
          <w:kern w:val="0"/>
          <w:sz w:val="20"/>
          <w:szCs w:val="20"/>
          <w:lang w:eastAsia="en-GB"/>
          <w14:ligatures w14:val="none"/>
        </w:rPr>
        <w:t>.</w:t>
      </w:r>
    </w:p>
    <w:p w14:paraId="0EDE6C14" w14:textId="372FA562" w:rsidR="006252DB" w:rsidRDefault="006252DB" w:rsidP="00B32D25">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Pr>
          <w:rFonts w:ascii="Arial" w:eastAsia="Times New Roman" w:hAnsi="Arial" w:cs="Arial"/>
          <w:color w:val="0F1115"/>
          <w:kern w:val="0"/>
          <w:sz w:val="20"/>
          <w:szCs w:val="20"/>
          <w:lang w:eastAsia="en-GB"/>
          <w14:ligatures w14:val="none"/>
        </w:rPr>
        <w:lastRenderedPageBreak/>
        <w:t xml:space="preserve">AOJ </w:t>
      </w:r>
      <w:r w:rsidR="00285F65">
        <w:rPr>
          <w:rFonts w:ascii="Arial" w:eastAsia="Times New Roman" w:hAnsi="Arial" w:cs="Arial"/>
          <w:color w:val="0F1115"/>
          <w:kern w:val="0"/>
          <w:sz w:val="20"/>
          <w:szCs w:val="20"/>
          <w:lang w:eastAsia="en-GB"/>
          <w14:ligatures w14:val="none"/>
        </w:rPr>
        <w:t xml:space="preserve">and </w:t>
      </w:r>
      <w:r>
        <w:rPr>
          <w:rFonts w:ascii="Arial" w:eastAsia="Times New Roman" w:hAnsi="Arial" w:cs="Arial"/>
          <w:color w:val="0F1115"/>
          <w:kern w:val="0"/>
          <w:sz w:val="20"/>
          <w:szCs w:val="20"/>
          <w:lang w:eastAsia="en-GB"/>
          <w14:ligatures w14:val="none"/>
        </w:rPr>
        <w:t>AAH</w:t>
      </w:r>
      <w:r w:rsidR="00285F65">
        <w:rPr>
          <w:rFonts w:ascii="Arial" w:eastAsia="Times New Roman" w:hAnsi="Arial" w:cs="Arial"/>
          <w:color w:val="0F1115"/>
          <w:kern w:val="0"/>
          <w:sz w:val="20"/>
          <w:szCs w:val="20"/>
          <w:lang w:eastAsia="en-GB"/>
          <w14:ligatures w14:val="none"/>
        </w:rPr>
        <w:t xml:space="preserve"> both worked on the </w:t>
      </w:r>
      <w:r w:rsidR="00285F65" w:rsidRPr="00B32D25">
        <w:rPr>
          <w:rFonts w:ascii="Arial" w:eastAsia="Times New Roman" w:hAnsi="Arial" w:cs="Arial"/>
          <w:color w:val="0F1115"/>
          <w:kern w:val="0"/>
          <w:sz w:val="20"/>
          <w:szCs w:val="20"/>
          <w:lang w:eastAsia="en-GB"/>
          <w14:ligatures w14:val="none"/>
        </w:rPr>
        <w:t>wr</w:t>
      </w:r>
      <w:r w:rsidR="00D73BFC" w:rsidRPr="00B32D25">
        <w:rPr>
          <w:rFonts w:ascii="Arial" w:eastAsia="Times New Roman" w:hAnsi="Arial" w:cs="Arial"/>
          <w:color w:val="0F1115"/>
          <w:kern w:val="0"/>
          <w:sz w:val="20"/>
          <w:szCs w:val="20"/>
          <w:lang w:eastAsia="en-GB"/>
          <w14:ligatures w14:val="none"/>
        </w:rPr>
        <w:t xml:space="preserve">iting </w:t>
      </w:r>
      <w:r w:rsidR="00285F65">
        <w:rPr>
          <w:rFonts w:ascii="Arial" w:eastAsia="Times New Roman" w:hAnsi="Arial" w:cs="Arial"/>
          <w:color w:val="0F1115"/>
          <w:kern w:val="0"/>
          <w:sz w:val="20"/>
          <w:szCs w:val="20"/>
          <w:lang w:eastAsia="en-GB"/>
          <w14:ligatures w14:val="none"/>
        </w:rPr>
        <w:t xml:space="preserve">of the </w:t>
      </w:r>
      <w:r w:rsidR="00D73BFC" w:rsidRPr="00B32D25">
        <w:rPr>
          <w:rFonts w:ascii="Arial" w:eastAsia="Times New Roman" w:hAnsi="Arial" w:cs="Arial"/>
          <w:color w:val="0F1115"/>
          <w:kern w:val="0"/>
          <w:sz w:val="20"/>
          <w:szCs w:val="20"/>
          <w:lang w:eastAsia="en-GB"/>
          <w14:ligatures w14:val="none"/>
        </w:rPr>
        <w:t>review &amp; editing</w:t>
      </w:r>
      <w:r w:rsidR="00285F65">
        <w:rPr>
          <w:rFonts w:ascii="Arial" w:eastAsia="Times New Roman" w:hAnsi="Arial" w:cs="Arial"/>
          <w:color w:val="0F1115"/>
          <w:kern w:val="0"/>
          <w:sz w:val="20"/>
          <w:szCs w:val="20"/>
          <w:lang w:eastAsia="en-GB"/>
          <w14:ligatures w14:val="none"/>
        </w:rPr>
        <w:t>.</w:t>
      </w:r>
    </w:p>
    <w:p w14:paraId="57C3CC83" w14:textId="356A0D6C" w:rsidR="00B32D25" w:rsidRPr="00EC7F67" w:rsidRDefault="00B32D25" w:rsidP="00B32D25">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B32D25">
        <w:rPr>
          <w:rFonts w:ascii="Arial" w:eastAsia="Times New Roman" w:hAnsi="Arial" w:cs="Arial"/>
          <w:color w:val="0F1115"/>
          <w:kern w:val="0"/>
          <w:sz w:val="20"/>
          <w:szCs w:val="20"/>
          <w:lang w:eastAsia="en-GB"/>
          <w14:ligatures w14:val="none"/>
        </w:rPr>
        <w:t>A</w:t>
      </w:r>
      <w:r w:rsidR="00D73BFC" w:rsidRPr="00B32D25">
        <w:rPr>
          <w:rFonts w:ascii="Arial" w:eastAsia="Times New Roman" w:hAnsi="Arial" w:cs="Arial"/>
          <w:color w:val="0F1115"/>
          <w:kern w:val="0"/>
          <w:sz w:val="20"/>
          <w:szCs w:val="20"/>
          <w:lang w:eastAsia="en-GB"/>
          <w14:ligatures w14:val="none"/>
        </w:rPr>
        <w:t>OJ</w:t>
      </w:r>
      <w:r w:rsidR="00285F65">
        <w:rPr>
          <w:rFonts w:ascii="Arial" w:eastAsia="Times New Roman" w:hAnsi="Arial" w:cs="Arial"/>
          <w:color w:val="0F1115"/>
          <w:kern w:val="0"/>
          <w:sz w:val="20"/>
          <w:szCs w:val="20"/>
          <w:lang w:eastAsia="en-GB"/>
          <w14:ligatures w14:val="none"/>
        </w:rPr>
        <w:t xml:space="preserve"> also worked on</w:t>
      </w:r>
      <w:r w:rsidR="00D73BFC" w:rsidRPr="00B32D25">
        <w:rPr>
          <w:rFonts w:ascii="Arial" w:eastAsia="Times New Roman" w:hAnsi="Arial" w:cs="Arial"/>
          <w:color w:val="0F1115"/>
          <w:kern w:val="0"/>
          <w:sz w:val="20"/>
          <w:szCs w:val="20"/>
          <w:lang w:eastAsia="en-GB"/>
          <w14:ligatures w14:val="none"/>
        </w:rPr>
        <w:t> </w:t>
      </w:r>
      <w:r w:rsidR="00285F65">
        <w:rPr>
          <w:rFonts w:ascii="Arial" w:eastAsia="Times New Roman" w:hAnsi="Arial" w:cs="Arial"/>
          <w:color w:val="0F1115"/>
          <w:kern w:val="0"/>
          <w:sz w:val="20"/>
          <w:szCs w:val="20"/>
          <w:lang w:eastAsia="en-GB"/>
          <w14:ligatures w14:val="none"/>
        </w:rPr>
        <w:t>m</w:t>
      </w:r>
      <w:r w:rsidR="00D73BFC" w:rsidRPr="00B32D25">
        <w:rPr>
          <w:rFonts w:ascii="Arial" w:eastAsia="Times New Roman" w:hAnsi="Arial" w:cs="Arial"/>
          <w:color w:val="0F1115"/>
          <w:kern w:val="0"/>
          <w:sz w:val="20"/>
          <w:szCs w:val="20"/>
          <w:lang w:eastAsia="en-GB"/>
          <w14:ligatures w14:val="none"/>
        </w:rPr>
        <w:t>ethodology</w:t>
      </w:r>
      <w:r w:rsidR="00285F65">
        <w:rPr>
          <w:rFonts w:ascii="Arial" w:eastAsia="Times New Roman" w:hAnsi="Arial" w:cs="Arial"/>
          <w:color w:val="0F1115"/>
          <w:kern w:val="0"/>
          <w:sz w:val="20"/>
          <w:szCs w:val="20"/>
          <w:lang w:eastAsia="en-GB"/>
          <w14:ligatures w14:val="none"/>
        </w:rPr>
        <w:t>, v</w:t>
      </w:r>
      <w:r w:rsidR="00D73BFC" w:rsidRPr="00B32D25">
        <w:rPr>
          <w:rFonts w:ascii="Arial" w:eastAsia="Times New Roman" w:hAnsi="Arial" w:cs="Arial"/>
          <w:color w:val="0F1115"/>
          <w:kern w:val="0"/>
          <w:sz w:val="20"/>
          <w:szCs w:val="20"/>
          <w:lang w:eastAsia="en-GB"/>
          <w14:ligatures w14:val="none"/>
        </w:rPr>
        <w:t xml:space="preserve">alidation </w:t>
      </w:r>
      <w:r w:rsidR="00285F65">
        <w:rPr>
          <w:rFonts w:ascii="Arial" w:eastAsia="Times New Roman" w:hAnsi="Arial" w:cs="Arial"/>
          <w:color w:val="0F1115"/>
          <w:kern w:val="0"/>
          <w:sz w:val="20"/>
          <w:szCs w:val="20"/>
          <w:lang w:eastAsia="en-GB"/>
          <w14:ligatures w14:val="none"/>
        </w:rPr>
        <w:t>and i</w:t>
      </w:r>
      <w:r w:rsidR="00D73BFC" w:rsidRPr="00B32D25">
        <w:rPr>
          <w:rFonts w:ascii="Arial" w:eastAsia="Times New Roman" w:hAnsi="Arial" w:cs="Arial"/>
          <w:color w:val="0F1115"/>
          <w:kern w:val="0"/>
          <w:sz w:val="20"/>
          <w:szCs w:val="20"/>
          <w:lang w:eastAsia="en-GB"/>
          <w14:ligatures w14:val="none"/>
        </w:rPr>
        <w:t>nvestigation</w:t>
      </w:r>
      <w:r w:rsidR="00285F65">
        <w:rPr>
          <w:rFonts w:ascii="Arial" w:eastAsia="Times New Roman" w:hAnsi="Arial" w:cs="Arial"/>
          <w:color w:val="0F1115"/>
          <w:kern w:val="0"/>
          <w:sz w:val="20"/>
          <w:szCs w:val="20"/>
          <w:lang w:eastAsia="en-GB"/>
          <w14:ligatures w14:val="none"/>
        </w:rPr>
        <w:t>.</w:t>
      </w:r>
    </w:p>
    <w:p w14:paraId="2FE3C633" w14:textId="77777777" w:rsidR="00285F65" w:rsidRDefault="00285F65"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p>
    <w:p w14:paraId="286CA804" w14:textId="4091AE98" w:rsidR="00D73BFC" w:rsidRPr="00B32D25" w:rsidRDefault="00D73BFC" w:rsidP="00EC7F67">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B32D25">
        <w:rPr>
          <w:rFonts w:ascii="Arial" w:eastAsia="Times New Roman" w:hAnsi="Arial" w:cs="Arial"/>
          <w:i/>
          <w:iCs/>
          <w:color w:val="0F1115"/>
          <w:kern w:val="0"/>
          <w:sz w:val="20"/>
          <w:szCs w:val="20"/>
          <w:lang w:eastAsia="en-GB"/>
          <w14:ligatures w14:val="none"/>
        </w:rPr>
        <w:t>Acknowledgements</w:t>
      </w:r>
    </w:p>
    <w:p w14:paraId="6B766303" w14:textId="6B61B3F6" w:rsidR="00D73BFC" w:rsidRPr="00EC7F67" w:rsidRDefault="00D73BFC" w:rsidP="00EC7F67">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C7F67">
        <w:rPr>
          <w:rFonts w:ascii="Arial" w:eastAsia="Times New Roman" w:hAnsi="Arial" w:cs="Arial"/>
          <w:color w:val="0F1115"/>
          <w:kern w:val="0"/>
          <w:sz w:val="20"/>
          <w:szCs w:val="20"/>
          <w:lang w:eastAsia="en-GB"/>
          <w14:ligatures w14:val="none"/>
        </w:rPr>
        <w:t>The authors would like to express their sincere gratitude to all the patients and healthy volunteers who participated in this study. We extend our appreciation to the dedicated medical and nursing staff at Marjan Teaching Hospital and Shaheed Al</w:t>
      </w:r>
      <w:r w:rsidRPr="00EC7F67">
        <w:rPr>
          <w:rFonts w:ascii="Arial" w:eastAsia="Times New Roman" w:hAnsi="Arial" w:cs="Arial"/>
          <w:color w:val="0F1115"/>
          <w:kern w:val="0"/>
          <w:sz w:val="20"/>
          <w:szCs w:val="20"/>
          <w:lang w:eastAsia="en-GB"/>
          <w14:ligatures w14:val="none"/>
        </w:rPr>
        <w:noBreakHyphen/>
        <w:t xml:space="preserve">Mihrab </w:t>
      </w:r>
      <w:r w:rsidR="00B32D25">
        <w:rPr>
          <w:rFonts w:ascii="Arial" w:eastAsia="Times New Roman" w:hAnsi="Arial" w:cs="Arial"/>
          <w:color w:val="0F1115"/>
          <w:kern w:val="0"/>
          <w:sz w:val="20"/>
          <w:szCs w:val="20"/>
          <w:lang w:eastAsia="en-GB"/>
          <w14:ligatures w14:val="none"/>
        </w:rPr>
        <w:t>Centre</w:t>
      </w:r>
      <w:r w:rsidRPr="00EC7F67">
        <w:rPr>
          <w:rFonts w:ascii="Arial" w:eastAsia="Times New Roman" w:hAnsi="Arial" w:cs="Arial"/>
          <w:color w:val="0F1115"/>
          <w:kern w:val="0"/>
          <w:sz w:val="20"/>
          <w:szCs w:val="20"/>
          <w:lang w:eastAsia="en-GB"/>
          <w14:ligatures w14:val="none"/>
        </w:rPr>
        <w:t xml:space="preserve"> for Cardiac Disease in Hilla, Iraq, for their invaluable assistance in patient recruitment and sample collection. We also thank the laboratory staff at the Department of Biochemistry, University of Babylon, for their technical support. Artificial intelligence tools were used solely to improve sentence structure and clarity; no AI was used for data analysis or interpretation.</w:t>
      </w:r>
    </w:p>
    <w:p w14:paraId="37C167D2" w14:textId="34B08988" w:rsidR="00D73BFC" w:rsidRPr="00EC7F67" w:rsidRDefault="00D73BFC" w:rsidP="00EC7F67">
      <w:pPr>
        <w:spacing w:after="0" w:line="240" w:lineRule="auto"/>
        <w:jc w:val="both"/>
        <w:rPr>
          <w:rFonts w:ascii="Arial" w:eastAsia="Times New Roman" w:hAnsi="Arial" w:cs="Arial"/>
          <w:kern w:val="0"/>
          <w:sz w:val="20"/>
          <w:szCs w:val="20"/>
          <w:lang w:eastAsia="en-GB"/>
          <w14:ligatures w14:val="none"/>
        </w:rPr>
      </w:pPr>
    </w:p>
    <w:p w14:paraId="11B8B557" w14:textId="77777777" w:rsidR="00D73BFC" w:rsidRPr="00EC7F67" w:rsidRDefault="00D73BFC" w:rsidP="00EC7F67">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EC7F67">
        <w:rPr>
          <w:rFonts w:ascii="Arial" w:eastAsia="Times New Roman" w:hAnsi="Arial" w:cs="Arial"/>
          <w:b/>
          <w:bCs/>
          <w:color w:val="0F1115"/>
          <w:kern w:val="0"/>
          <w:sz w:val="20"/>
          <w:szCs w:val="20"/>
          <w:lang w:eastAsia="en-GB"/>
          <w14:ligatures w14:val="none"/>
        </w:rPr>
        <w:t>References</w:t>
      </w:r>
    </w:p>
    <w:p w14:paraId="76117A1B" w14:textId="034B0620" w:rsidR="00D73BFC" w:rsidRPr="00B32D25" w:rsidRDefault="0064637E"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5" w:name="_Ref229570116"/>
      <w:r w:rsidRPr="0064637E">
        <w:rPr>
          <w:rFonts w:ascii="Arial" w:eastAsia="Times New Roman" w:hAnsi="Arial" w:cs="Arial"/>
          <w:color w:val="0F1115"/>
          <w:kern w:val="0"/>
          <w:sz w:val="20"/>
          <w:szCs w:val="20"/>
          <w:lang w:eastAsia="en-GB"/>
          <w14:ligatures w14:val="none"/>
        </w:rPr>
        <w:t>Elendu C, Amaechi DC, Elendu TC, Fiemotonghan BE, Okoye OK, Agu-Ben CM, Onyekweli SO, Amapu DA, Ikpegbu R, Asekhauno M, Pius E. A comprehensive review of heart failure: Unraveling the etiology, decoding pathophysiological mechanisms, navigating diagnostic modalities, exploring pharmacological interventions, advocating lifestyle modifications, and charting the horizon of emerging therapies in the complex landscape of chronic cardiac dysfunction. Medicine. 2024 Jan 19;103(3):e36895.</w:t>
      </w:r>
      <w:r w:rsidR="006268C9">
        <w:rPr>
          <w:rFonts w:ascii="Arial" w:eastAsia="Times New Roman" w:hAnsi="Arial" w:cs="Arial"/>
          <w:color w:val="0F1115"/>
          <w:kern w:val="0"/>
          <w:sz w:val="20"/>
          <w:szCs w:val="20"/>
          <w:lang w:eastAsia="en-GB"/>
          <w14:ligatures w14:val="none"/>
        </w:rPr>
        <w:t xml:space="preserve"> </w:t>
      </w:r>
      <w:hyperlink r:id="rId14" w:history="1">
        <w:r w:rsidR="006268C9" w:rsidRPr="006268C9">
          <w:rPr>
            <w:rStyle w:val="Hyperlink"/>
            <w:rFonts w:ascii="Arial" w:eastAsia="Times New Roman" w:hAnsi="Arial" w:cs="Arial"/>
            <w:color w:val="0000FF"/>
            <w:kern w:val="0"/>
            <w:sz w:val="20"/>
            <w:szCs w:val="20"/>
            <w:lang w:eastAsia="en-GB"/>
            <w14:ligatures w14:val="none"/>
          </w:rPr>
          <w:t>https://doi.org/10.1097/MD.0000000000036895</w:t>
        </w:r>
      </w:hyperlink>
      <w:bookmarkEnd w:id="5"/>
      <w:r w:rsidR="006268C9">
        <w:rPr>
          <w:rFonts w:ascii="Arial" w:eastAsia="Times New Roman" w:hAnsi="Arial" w:cs="Arial"/>
          <w:color w:val="0F1115"/>
          <w:kern w:val="0"/>
          <w:sz w:val="20"/>
          <w:szCs w:val="20"/>
          <w:lang w:eastAsia="en-GB"/>
          <w14:ligatures w14:val="none"/>
        </w:rPr>
        <w:t xml:space="preserve"> </w:t>
      </w:r>
    </w:p>
    <w:p w14:paraId="17866428" w14:textId="18CBDFC4" w:rsidR="00D73BFC" w:rsidRPr="00B32D25" w:rsidRDefault="0064637E"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6" w:name="_Ref229570132"/>
      <w:r w:rsidRPr="0064637E">
        <w:rPr>
          <w:rFonts w:ascii="Arial" w:eastAsia="Times New Roman" w:hAnsi="Arial" w:cs="Arial"/>
          <w:color w:val="0F1115"/>
          <w:kern w:val="0"/>
          <w:sz w:val="20"/>
          <w:szCs w:val="20"/>
          <w:lang w:eastAsia="en-GB"/>
          <w14:ligatures w14:val="none"/>
        </w:rPr>
        <w:t xml:space="preserve">Triposkiadis F, Xanthopoulos A, Parissis J, Butler J, Farmakis D. Pathogenesis of chronic heart failure: cardiovascular aging, risk factors, comorbidities, and disease modifiers. Heart </w:t>
      </w:r>
      <w:r w:rsidR="00B56A0D">
        <w:rPr>
          <w:rFonts w:ascii="Arial" w:eastAsia="Times New Roman" w:hAnsi="Arial" w:cs="Arial"/>
          <w:color w:val="0F1115"/>
          <w:kern w:val="0"/>
          <w:sz w:val="20"/>
          <w:szCs w:val="20"/>
          <w:lang w:eastAsia="en-GB"/>
          <w14:ligatures w14:val="none"/>
        </w:rPr>
        <w:t>F</w:t>
      </w:r>
      <w:r w:rsidRPr="0064637E">
        <w:rPr>
          <w:rFonts w:ascii="Arial" w:eastAsia="Times New Roman" w:hAnsi="Arial" w:cs="Arial"/>
          <w:color w:val="0F1115"/>
          <w:kern w:val="0"/>
          <w:sz w:val="20"/>
          <w:szCs w:val="20"/>
          <w:lang w:eastAsia="en-GB"/>
          <w14:ligatures w14:val="none"/>
        </w:rPr>
        <w:t xml:space="preserve">ailure </w:t>
      </w:r>
      <w:r w:rsidR="00B56A0D">
        <w:rPr>
          <w:rFonts w:ascii="Arial" w:eastAsia="Times New Roman" w:hAnsi="Arial" w:cs="Arial"/>
          <w:color w:val="0F1115"/>
          <w:kern w:val="0"/>
          <w:sz w:val="20"/>
          <w:szCs w:val="20"/>
          <w:lang w:eastAsia="en-GB"/>
          <w14:ligatures w14:val="none"/>
        </w:rPr>
        <w:t>R</w:t>
      </w:r>
      <w:r w:rsidRPr="0064637E">
        <w:rPr>
          <w:rFonts w:ascii="Arial" w:eastAsia="Times New Roman" w:hAnsi="Arial" w:cs="Arial"/>
          <w:color w:val="0F1115"/>
          <w:kern w:val="0"/>
          <w:sz w:val="20"/>
          <w:szCs w:val="20"/>
          <w:lang w:eastAsia="en-GB"/>
          <w14:ligatures w14:val="none"/>
        </w:rPr>
        <w:t>eviews. 2022 Jan;27(1):337-44.</w:t>
      </w:r>
      <w:r w:rsidR="006268C9">
        <w:rPr>
          <w:rFonts w:ascii="Arial" w:eastAsia="Times New Roman" w:hAnsi="Arial" w:cs="Arial"/>
          <w:color w:val="0F1115"/>
          <w:kern w:val="0"/>
          <w:sz w:val="20"/>
          <w:szCs w:val="20"/>
          <w:lang w:eastAsia="en-GB"/>
          <w14:ligatures w14:val="none"/>
        </w:rPr>
        <w:t xml:space="preserve"> </w:t>
      </w:r>
      <w:hyperlink r:id="rId15" w:history="1">
        <w:r w:rsidR="006268C9" w:rsidRPr="006268C9">
          <w:rPr>
            <w:rStyle w:val="Hyperlink"/>
            <w:rFonts w:ascii="Arial" w:eastAsia="Times New Roman" w:hAnsi="Arial" w:cs="Arial"/>
            <w:color w:val="0000FF"/>
            <w:kern w:val="0"/>
            <w:sz w:val="20"/>
            <w:szCs w:val="20"/>
            <w:lang w:eastAsia="en-GB"/>
            <w14:ligatures w14:val="none"/>
          </w:rPr>
          <w:t>https://doi.org/10.1007/s10741-020-09987-z</w:t>
        </w:r>
      </w:hyperlink>
      <w:bookmarkEnd w:id="6"/>
      <w:r w:rsidR="006268C9">
        <w:rPr>
          <w:rFonts w:ascii="Arial" w:eastAsia="Times New Roman" w:hAnsi="Arial" w:cs="Arial"/>
          <w:color w:val="0F1115"/>
          <w:kern w:val="0"/>
          <w:sz w:val="20"/>
          <w:szCs w:val="20"/>
          <w:lang w:eastAsia="en-GB"/>
          <w14:ligatures w14:val="none"/>
        </w:rPr>
        <w:t xml:space="preserve"> </w:t>
      </w:r>
    </w:p>
    <w:p w14:paraId="19BD203C" w14:textId="21957202" w:rsidR="00D73BFC" w:rsidRPr="00B32D25" w:rsidRDefault="00AE0F9A"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7" w:name="_Ref229570152"/>
      <w:r w:rsidRPr="00AE0F9A">
        <w:rPr>
          <w:rFonts w:ascii="Arial" w:eastAsia="Times New Roman" w:hAnsi="Arial" w:cs="Arial"/>
          <w:color w:val="0F1115"/>
          <w:kern w:val="0"/>
          <w:sz w:val="20"/>
          <w:szCs w:val="20"/>
          <w:lang w:eastAsia="en-GB"/>
          <w14:ligatures w14:val="none"/>
        </w:rPr>
        <w:t>Jia Z, Du X. Epidemiology and Burden of Heart Failure. Cardiology Discovery. 2025 Dec 1;5(4):281-4.</w:t>
      </w:r>
      <w:r w:rsidR="006268C9">
        <w:rPr>
          <w:rFonts w:ascii="Arial" w:eastAsia="Times New Roman" w:hAnsi="Arial" w:cs="Arial"/>
          <w:color w:val="0F1115"/>
          <w:kern w:val="0"/>
          <w:sz w:val="20"/>
          <w:szCs w:val="20"/>
          <w:lang w:eastAsia="en-GB"/>
          <w14:ligatures w14:val="none"/>
        </w:rPr>
        <w:t xml:space="preserve"> </w:t>
      </w:r>
      <w:hyperlink r:id="rId16" w:history="1">
        <w:r w:rsidR="006268C9" w:rsidRPr="006268C9">
          <w:rPr>
            <w:rStyle w:val="Hyperlink"/>
            <w:rFonts w:ascii="Arial" w:eastAsia="Times New Roman" w:hAnsi="Arial" w:cs="Arial"/>
            <w:color w:val="0000FF"/>
            <w:kern w:val="0"/>
            <w:sz w:val="20"/>
            <w:szCs w:val="20"/>
            <w:lang w:eastAsia="en-GB"/>
            <w14:ligatures w14:val="none"/>
          </w:rPr>
          <w:t>https://doi.org/10.1097/CD9.0000000000000173</w:t>
        </w:r>
      </w:hyperlink>
      <w:bookmarkEnd w:id="7"/>
      <w:r w:rsidR="006268C9">
        <w:rPr>
          <w:rFonts w:ascii="Arial" w:eastAsia="Times New Roman" w:hAnsi="Arial" w:cs="Arial"/>
          <w:color w:val="0F1115"/>
          <w:kern w:val="0"/>
          <w:sz w:val="20"/>
          <w:szCs w:val="20"/>
          <w:lang w:eastAsia="en-GB"/>
          <w14:ligatures w14:val="none"/>
        </w:rPr>
        <w:t xml:space="preserve"> </w:t>
      </w:r>
    </w:p>
    <w:p w14:paraId="078A5F23" w14:textId="1C61519B" w:rsidR="00D73BFC" w:rsidRPr="00B32D25" w:rsidRDefault="00AE0F9A"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8" w:name="_Ref229570161"/>
      <w:r w:rsidRPr="00AE0F9A">
        <w:rPr>
          <w:rFonts w:ascii="Arial" w:eastAsia="Times New Roman" w:hAnsi="Arial" w:cs="Arial"/>
          <w:color w:val="0F1115"/>
          <w:kern w:val="0"/>
          <w:sz w:val="20"/>
          <w:szCs w:val="20"/>
          <w:lang w:eastAsia="en-GB"/>
          <w14:ligatures w14:val="none"/>
        </w:rPr>
        <w:t xml:space="preserve">Balling L, Gustafsson F. Copeptin in heart failure. </w:t>
      </w:r>
      <w:r w:rsidR="00503708">
        <w:rPr>
          <w:rFonts w:ascii="Arial" w:eastAsia="Times New Roman" w:hAnsi="Arial" w:cs="Arial"/>
          <w:color w:val="0F1115"/>
          <w:kern w:val="0"/>
          <w:sz w:val="20"/>
          <w:szCs w:val="20"/>
          <w:lang w:eastAsia="en-GB"/>
          <w14:ligatures w14:val="none"/>
        </w:rPr>
        <w:t>In Advances</w:t>
      </w:r>
      <w:r w:rsidRPr="00AE0F9A">
        <w:rPr>
          <w:rFonts w:ascii="Arial" w:eastAsia="Times New Roman" w:hAnsi="Arial" w:cs="Arial"/>
          <w:color w:val="0F1115"/>
          <w:kern w:val="0"/>
          <w:sz w:val="20"/>
          <w:szCs w:val="20"/>
          <w:lang w:eastAsia="en-GB"/>
          <w14:ligatures w14:val="none"/>
        </w:rPr>
        <w:t xml:space="preserve"> in </w:t>
      </w:r>
      <w:r w:rsidR="00B56A0D">
        <w:rPr>
          <w:rFonts w:ascii="Arial" w:eastAsia="Times New Roman" w:hAnsi="Arial" w:cs="Arial"/>
          <w:color w:val="0F1115"/>
          <w:kern w:val="0"/>
          <w:sz w:val="20"/>
          <w:szCs w:val="20"/>
          <w:lang w:eastAsia="en-GB"/>
          <w14:ligatures w14:val="none"/>
        </w:rPr>
        <w:t>C</w:t>
      </w:r>
      <w:r w:rsidRPr="00AE0F9A">
        <w:rPr>
          <w:rFonts w:ascii="Arial" w:eastAsia="Times New Roman" w:hAnsi="Arial" w:cs="Arial"/>
          <w:color w:val="0F1115"/>
          <w:kern w:val="0"/>
          <w:sz w:val="20"/>
          <w:szCs w:val="20"/>
          <w:lang w:eastAsia="en-GB"/>
          <w14:ligatures w14:val="none"/>
        </w:rPr>
        <w:t xml:space="preserve">linical </w:t>
      </w:r>
      <w:r w:rsidR="00B56A0D">
        <w:rPr>
          <w:rFonts w:ascii="Arial" w:eastAsia="Times New Roman" w:hAnsi="Arial" w:cs="Arial"/>
          <w:color w:val="0F1115"/>
          <w:kern w:val="0"/>
          <w:sz w:val="20"/>
          <w:szCs w:val="20"/>
          <w:lang w:eastAsia="en-GB"/>
          <w14:ligatures w14:val="none"/>
        </w:rPr>
        <w:t>C</w:t>
      </w:r>
      <w:r w:rsidRPr="00AE0F9A">
        <w:rPr>
          <w:rFonts w:ascii="Arial" w:eastAsia="Times New Roman" w:hAnsi="Arial" w:cs="Arial"/>
          <w:color w:val="0F1115"/>
          <w:kern w:val="0"/>
          <w:sz w:val="20"/>
          <w:szCs w:val="20"/>
          <w:lang w:eastAsia="en-GB"/>
          <w14:ligatures w14:val="none"/>
        </w:rPr>
        <w:t>hemistry 2016 Jan 1 (Vol. 73, pp. 29-64). Elsevier.</w:t>
      </w:r>
      <w:r w:rsidR="006268C9">
        <w:rPr>
          <w:rFonts w:ascii="Arial" w:eastAsia="Times New Roman" w:hAnsi="Arial" w:cs="Arial"/>
          <w:color w:val="0F1115"/>
          <w:kern w:val="0"/>
          <w:sz w:val="20"/>
          <w:szCs w:val="20"/>
          <w:lang w:eastAsia="en-GB"/>
          <w14:ligatures w14:val="none"/>
        </w:rPr>
        <w:t xml:space="preserve"> </w:t>
      </w:r>
      <w:hyperlink r:id="rId17" w:history="1">
        <w:r w:rsidR="006268C9" w:rsidRPr="006268C9">
          <w:rPr>
            <w:rStyle w:val="Hyperlink"/>
            <w:rFonts w:ascii="Arial" w:eastAsia="Times New Roman" w:hAnsi="Arial" w:cs="Arial"/>
            <w:color w:val="0000FF"/>
            <w:kern w:val="0"/>
            <w:sz w:val="20"/>
            <w:szCs w:val="20"/>
            <w:lang w:eastAsia="en-GB"/>
            <w14:ligatures w14:val="none"/>
          </w:rPr>
          <w:t>https://doi.org/10.1016/bs.acc.2015.10.006</w:t>
        </w:r>
      </w:hyperlink>
      <w:bookmarkEnd w:id="8"/>
      <w:r w:rsidR="006268C9">
        <w:rPr>
          <w:rFonts w:ascii="Arial" w:eastAsia="Times New Roman" w:hAnsi="Arial" w:cs="Arial"/>
          <w:color w:val="0F1115"/>
          <w:kern w:val="0"/>
          <w:sz w:val="20"/>
          <w:szCs w:val="20"/>
          <w:lang w:eastAsia="en-GB"/>
          <w14:ligatures w14:val="none"/>
        </w:rPr>
        <w:t xml:space="preserve"> </w:t>
      </w:r>
    </w:p>
    <w:p w14:paraId="6270842D" w14:textId="482D6FFF" w:rsidR="00D73BFC" w:rsidRPr="00B32D25" w:rsidRDefault="00AE0F9A"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9" w:name="_Ref229570177"/>
      <w:r w:rsidRPr="00AE0F9A">
        <w:rPr>
          <w:rFonts w:ascii="Arial" w:eastAsia="Times New Roman" w:hAnsi="Arial" w:cs="Arial"/>
          <w:color w:val="0F1115"/>
          <w:kern w:val="0"/>
          <w:sz w:val="20"/>
          <w:szCs w:val="20"/>
          <w:lang w:eastAsia="en-GB"/>
          <w14:ligatures w14:val="none"/>
        </w:rPr>
        <w:t>Alzaabi MA, Abdelsalam A, Alhammadi M, Hani HB, Almheiri A, Al Matrooshi N, Al Zaman K. Evaluating biomarkers as tools for early detection and prognosis of heart failure: a comprehensive review. Cardiac Failure Review. 2024 Jun 3;10:e06.</w:t>
      </w:r>
      <w:r w:rsidR="006268C9">
        <w:rPr>
          <w:rFonts w:ascii="Arial" w:eastAsia="Times New Roman" w:hAnsi="Arial" w:cs="Arial"/>
          <w:color w:val="0F1115"/>
          <w:kern w:val="0"/>
          <w:sz w:val="20"/>
          <w:szCs w:val="20"/>
          <w:lang w:eastAsia="en-GB"/>
          <w14:ligatures w14:val="none"/>
        </w:rPr>
        <w:t xml:space="preserve"> </w:t>
      </w:r>
      <w:hyperlink r:id="rId18" w:history="1">
        <w:r w:rsidR="000E084B" w:rsidRPr="000E084B">
          <w:rPr>
            <w:rStyle w:val="Hyperlink"/>
            <w:rFonts w:ascii="Arial" w:eastAsia="Times New Roman" w:hAnsi="Arial" w:cs="Arial"/>
            <w:color w:val="0000FF"/>
            <w:kern w:val="0"/>
            <w:sz w:val="20"/>
            <w:szCs w:val="20"/>
            <w:lang w:eastAsia="en-GB"/>
            <w14:ligatures w14:val="none"/>
          </w:rPr>
          <w:t>https://doi.org/10.15420/cfr.2023.24</w:t>
        </w:r>
      </w:hyperlink>
      <w:bookmarkEnd w:id="9"/>
      <w:r w:rsidR="000E084B">
        <w:rPr>
          <w:rFonts w:ascii="Arial" w:eastAsia="Times New Roman" w:hAnsi="Arial" w:cs="Arial"/>
          <w:color w:val="0F1115"/>
          <w:kern w:val="0"/>
          <w:sz w:val="20"/>
          <w:szCs w:val="20"/>
          <w:lang w:eastAsia="en-GB"/>
          <w14:ligatures w14:val="none"/>
        </w:rPr>
        <w:t xml:space="preserve"> </w:t>
      </w:r>
    </w:p>
    <w:p w14:paraId="118B909C" w14:textId="2F35BA63" w:rsidR="00D73BFC" w:rsidRPr="00B32D25" w:rsidRDefault="00F74190"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0" w:name="_Ref229570185"/>
      <w:r w:rsidRPr="00F74190">
        <w:rPr>
          <w:rFonts w:ascii="Arial" w:eastAsia="Times New Roman" w:hAnsi="Arial" w:cs="Arial"/>
          <w:color w:val="0F1115"/>
          <w:kern w:val="0"/>
          <w:sz w:val="20"/>
          <w:szCs w:val="20"/>
          <w:lang w:eastAsia="en-GB"/>
          <w14:ligatures w14:val="none"/>
        </w:rPr>
        <w:t>Chaikijurajai T, Rincon-Choles H, Tang WW. Natriuretic peptide testing strategies in heart failure: A 2023 update. InAdvances in Clinical Chemistry 2024 Jan 1 (Vol. 118, pp. 155-203). Elsevier.</w:t>
      </w:r>
      <w:r w:rsidR="000E084B">
        <w:rPr>
          <w:rFonts w:ascii="Arial" w:eastAsia="Times New Roman" w:hAnsi="Arial" w:cs="Arial"/>
          <w:color w:val="0F1115"/>
          <w:kern w:val="0"/>
          <w:sz w:val="20"/>
          <w:szCs w:val="20"/>
          <w:lang w:eastAsia="en-GB"/>
          <w14:ligatures w14:val="none"/>
        </w:rPr>
        <w:t xml:space="preserve"> </w:t>
      </w:r>
      <w:hyperlink r:id="rId19" w:history="1">
        <w:r w:rsidR="000E084B" w:rsidRPr="000E084B">
          <w:rPr>
            <w:rStyle w:val="Hyperlink"/>
            <w:rFonts w:ascii="Arial" w:eastAsia="Times New Roman" w:hAnsi="Arial" w:cs="Arial"/>
            <w:color w:val="0000FF"/>
            <w:kern w:val="0"/>
            <w:sz w:val="20"/>
            <w:szCs w:val="20"/>
            <w:lang w:eastAsia="en-GB"/>
            <w14:ligatures w14:val="none"/>
          </w:rPr>
          <w:t>https://doi.org/10.1016/bs.acc.2023.11.005</w:t>
        </w:r>
      </w:hyperlink>
      <w:bookmarkEnd w:id="10"/>
      <w:r w:rsidR="000E084B">
        <w:rPr>
          <w:rFonts w:ascii="Arial" w:eastAsia="Times New Roman" w:hAnsi="Arial" w:cs="Arial"/>
          <w:color w:val="0F1115"/>
          <w:kern w:val="0"/>
          <w:sz w:val="20"/>
          <w:szCs w:val="20"/>
          <w:lang w:eastAsia="en-GB"/>
          <w14:ligatures w14:val="none"/>
        </w:rPr>
        <w:t xml:space="preserve"> </w:t>
      </w:r>
    </w:p>
    <w:p w14:paraId="3237777B" w14:textId="5B0D29F8" w:rsidR="00D73BFC" w:rsidRPr="00B32D25" w:rsidRDefault="00F74190"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1" w:name="_Ref229570197"/>
      <w:r w:rsidRPr="00F74190">
        <w:rPr>
          <w:rFonts w:ascii="Arial" w:eastAsia="Times New Roman" w:hAnsi="Arial" w:cs="Arial"/>
          <w:color w:val="0F1115"/>
          <w:kern w:val="0"/>
          <w:sz w:val="20"/>
          <w:szCs w:val="20"/>
          <w:lang w:eastAsia="en-GB"/>
          <w14:ligatures w14:val="none"/>
        </w:rPr>
        <w:t xml:space="preserve">Castiglione V, Aimo A, Vergaro G, Saccaro L, Passino C, Emdin M. Biomarkers for the diagnosis and management of heart failure. Heart </w:t>
      </w:r>
      <w:r w:rsidR="00B56A0D">
        <w:rPr>
          <w:rFonts w:ascii="Arial" w:eastAsia="Times New Roman" w:hAnsi="Arial" w:cs="Arial"/>
          <w:color w:val="0F1115"/>
          <w:kern w:val="0"/>
          <w:sz w:val="20"/>
          <w:szCs w:val="20"/>
          <w:lang w:eastAsia="en-GB"/>
          <w14:ligatures w14:val="none"/>
        </w:rPr>
        <w:t>F</w:t>
      </w:r>
      <w:r w:rsidRPr="00F74190">
        <w:rPr>
          <w:rFonts w:ascii="Arial" w:eastAsia="Times New Roman" w:hAnsi="Arial" w:cs="Arial"/>
          <w:color w:val="0F1115"/>
          <w:kern w:val="0"/>
          <w:sz w:val="20"/>
          <w:szCs w:val="20"/>
          <w:lang w:eastAsia="en-GB"/>
          <w14:ligatures w14:val="none"/>
        </w:rPr>
        <w:t xml:space="preserve">ailure </w:t>
      </w:r>
      <w:r w:rsidR="00B56A0D">
        <w:rPr>
          <w:rFonts w:ascii="Arial" w:eastAsia="Times New Roman" w:hAnsi="Arial" w:cs="Arial"/>
          <w:color w:val="0F1115"/>
          <w:kern w:val="0"/>
          <w:sz w:val="20"/>
          <w:szCs w:val="20"/>
          <w:lang w:eastAsia="en-GB"/>
          <w14:ligatures w14:val="none"/>
        </w:rPr>
        <w:t>R</w:t>
      </w:r>
      <w:r w:rsidRPr="00F74190">
        <w:rPr>
          <w:rFonts w:ascii="Arial" w:eastAsia="Times New Roman" w:hAnsi="Arial" w:cs="Arial"/>
          <w:color w:val="0F1115"/>
          <w:kern w:val="0"/>
          <w:sz w:val="20"/>
          <w:szCs w:val="20"/>
          <w:lang w:eastAsia="en-GB"/>
          <w14:ligatures w14:val="none"/>
        </w:rPr>
        <w:t>eviews. 2022 Mar;27(2):625-43.</w:t>
      </w:r>
      <w:r w:rsidR="000E084B">
        <w:rPr>
          <w:rFonts w:ascii="Arial" w:eastAsia="Times New Roman" w:hAnsi="Arial" w:cs="Arial"/>
          <w:color w:val="0F1115"/>
          <w:kern w:val="0"/>
          <w:sz w:val="20"/>
          <w:szCs w:val="20"/>
          <w:lang w:eastAsia="en-GB"/>
          <w14:ligatures w14:val="none"/>
        </w:rPr>
        <w:t xml:space="preserve"> </w:t>
      </w:r>
      <w:hyperlink r:id="rId20" w:history="1">
        <w:r w:rsidR="000E084B" w:rsidRPr="000E084B">
          <w:rPr>
            <w:rStyle w:val="Hyperlink"/>
            <w:rFonts w:ascii="Arial" w:eastAsia="Times New Roman" w:hAnsi="Arial" w:cs="Arial"/>
            <w:color w:val="0000FF"/>
            <w:kern w:val="0"/>
            <w:sz w:val="20"/>
            <w:szCs w:val="20"/>
            <w:lang w:eastAsia="en-GB"/>
            <w14:ligatures w14:val="none"/>
          </w:rPr>
          <w:t>https://doi.org/10.1007/s10741-021-10105-w</w:t>
        </w:r>
      </w:hyperlink>
      <w:bookmarkEnd w:id="11"/>
      <w:r w:rsidR="000E084B">
        <w:rPr>
          <w:rFonts w:ascii="Arial" w:eastAsia="Times New Roman" w:hAnsi="Arial" w:cs="Arial"/>
          <w:color w:val="0F1115"/>
          <w:kern w:val="0"/>
          <w:sz w:val="20"/>
          <w:szCs w:val="20"/>
          <w:lang w:eastAsia="en-GB"/>
          <w14:ligatures w14:val="none"/>
        </w:rPr>
        <w:t xml:space="preserve"> </w:t>
      </w:r>
    </w:p>
    <w:p w14:paraId="14EF761D" w14:textId="7A4C39CF" w:rsidR="00D73BFC" w:rsidRPr="00B32D25" w:rsidRDefault="00F74190"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2" w:name="_Ref229570247"/>
      <w:r w:rsidRPr="00F74190">
        <w:rPr>
          <w:rFonts w:ascii="Arial" w:eastAsia="Times New Roman" w:hAnsi="Arial" w:cs="Arial"/>
          <w:color w:val="0F1115"/>
          <w:kern w:val="0"/>
          <w:sz w:val="20"/>
          <w:szCs w:val="20"/>
          <w:lang w:eastAsia="en-GB"/>
          <w14:ligatures w14:val="none"/>
        </w:rPr>
        <w:t>Schupp T, Abumayyaleh M, Weidner K, Lau F, Schmitt A, Reinhardt M, Abel N, Forner J, Akin M, Ayoub M, Mashayekhi K. Diagnostic and prognostic value of Aminoterminal prohormone of brain natriuretic peptide in heart failure with mildly reduced ejection fraction stratified by the degree of renal dysfunction. Journal of Clinical Medicine. 2024 Jan 16;13(2):489.</w:t>
      </w:r>
      <w:r w:rsidR="000E084B">
        <w:rPr>
          <w:rFonts w:ascii="Arial" w:eastAsia="Times New Roman" w:hAnsi="Arial" w:cs="Arial"/>
          <w:color w:val="0F1115"/>
          <w:kern w:val="0"/>
          <w:sz w:val="20"/>
          <w:szCs w:val="20"/>
          <w:lang w:eastAsia="en-GB"/>
          <w14:ligatures w14:val="none"/>
        </w:rPr>
        <w:t xml:space="preserve"> </w:t>
      </w:r>
      <w:hyperlink r:id="rId21" w:history="1">
        <w:r w:rsidR="000E084B" w:rsidRPr="000E084B">
          <w:rPr>
            <w:rStyle w:val="Hyperlink"/>
            <w:rFonts w:ascii="Arial" w:eastAsia="Times New Roman" w:hAnsi="Arial" w:cs="Arial"/>
            <w:color w:val="0000FF"/>
            <w:kern w:val="0"/>
            <w:sz w:val="20"/>
            <w:szCs w:val="20"/>
            <w:lang w:eastAsia="en-GB"/>
            <w14:ligatures w14:val="none"/>
          </w:rPr>
          <w:t>https://doi.org/10.3390/jcm13020489</w:t>
        </w:r>
      </w:hyperlink>
      <w:bookmarkEnd w:id="12"/>
      <w:r w:rsidR="000E084B">
        <w:rPr>
          <w:rFonts w:ascii="Arial" w:eastAsia="Times New Roman" w:hAnsi="Arial" w:cs="Arial"/>
          <w:color w:val="0F1115"/>
          <w:kern w:val="0"/>
          <w:sz w:val="20"/>
          <w:szCs w:val="20"/>
          <w:lang w:eastAsia="en-GB"/>
          <w14:ligatures w14:val="none"/>
        </w:rPr>
        <w:t xml:space="preserve"> </w:t>
      </w:r>
    </w:p>
    <w:p w14:paraId="4192F480" w14:textId="3616E29A" w:rsidR="00D73BFC" w:rsidRPr="00B32D25" w:rsidRDefault="00F74190"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3" w:name="_Ref229570258"/>
      <w:r w:rsidRPr="00F74190">
        <w:rPr>
          <w:rFonts w:ascii="Arial" w:eastAsia="Times New Roman" w:hAnsi="Arial" w:cs="Arial"/>
          <w:color w:val="0F1115"/>
          <w:kern w:val="0"/>
          <w:sz w:val="20"/>
          <w:szCs w:val="20"/>
          <w:lang w:eastAsia="en-GB"/>
          <w14:ligatures w14:val="none"/>
        </w:rPr>
        <w:t>Kristyagita A, Siswanto BB. The role of copeptin as a novel cardiovascular biomarker. Medical Journal of Indonesia. 2015 Mar 18;24(1):59-66.</w:t>
      </w:r>
      <w:r w:rsidR="000E084B">
        <w:rPr>
          <w:rFonts w:ascii="Arial" w:eastAsia="Times New Roman" w:hAnsi="Arial" w:cs="Arial"/>
          <w:color w:val="0F1115"/>
          <w:kern w:val="0"/>
          <w:sz w:val="20"/>
          <w:szCs w:val="20"/>
          <w:lang w:eastAsia="en-GB"/>
          <w14:ligatures w14:val="none"/>
        </w:rPr>
        <w:t xml:space="preserve"> </w:t>
      </w:r>
      <w:hyperlink r:id="rId22" w:history="1">
        <w:r w:rsidR="000E084B" w:rsidRPr="000E084B">
          <w:rPr>
            <w:rStyle w:val="Hyperlink"/>
            <w:rFonts w:ascii="Arial" w:eastAsia="Times New Roman" w:hAnsi="Arial" w:cs="Arial"/>
            <w:color w:val="0000FF"/>
            <w:kern w:val="0"/>
            <w:sz w:val="20"/>
            <w:szCs w:val="20"/>
            <w:lang w:eastAsia="en-GB"/>
            <w14:ligatures w14:val="none"/>
          </w:rPr>
          <w:t>https://doi.org/10.13181/mji.v24i1.1208</w:t>
        </w:r>
      </w:hyperlink>
      <w:bookmarkEnd w:id="13"/>
      <w:r w:rsidR="000E084B">
        <w:rPr>
          <w:rFonts w:ascii="Arial" w:eastAsia="Times New Roman" w:hAnsi="Arial" w:cs="Arial"/>
          <w:color w:val="0F1115"/>
          <w:kern w:val="0"/>
          <w:sz w:val="20"/>
          <w:szCs w:val="20"/>
          <w:lang w:eastAsia="en-GB"/>
          <w14:ligatures w14:val="none"/>
        </w:rPr>
        <w:t xml:space="preserve"> </w:t>
      </w:r>
    </w:p>
    <w:p w14:paraId="3DBAB4A8" w14:textId="2D282DEB" w:rsidR="00D73BFC" w:rsidRPr="00B32D25" w:rsidRDefault="00F74190"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4" w:name="_Ref229570272"/>
      <w:r w:rsidRPr="00F74190">
        <w:rPr>
          <w:rFonts w:ascii="Arial" w:eastAsia="Times New Roman" w:hAnsi="Arial" w:cs="Arial"/>
          <w:color w:val="0F1115"/>
          <w:kern w:val="0"/>
          <w:sz w:val="20"/>
          <w:szCs w:val="20"/>
          <w:lang w:eastAsia="en-GB"/>
          <w14:ligatures w14:val="none"/>
        </w:rPr>
        <w:t>Sravani M, Kokila M, Ramanathan K, Kumar A. Copeptin as a prognostic biomarker in heart failure: a comprehensive review. Folia Medica. 2025 Nov 28;67(6):e153542.</w:t>
      </w:r>
      <w:r w:rsidR="000E084B">
        <w:rPr>
          <w:rFonts w:ascii="Arial" w:eastAsia="Times New Roman" w:hAnsi="Arial" w:cs="Arial"/>
          <w:color w:val="0F1115"/>
          <w:kern w:val="0"/>
          <w:sz w:val="20"/>
          <w:szCs w:val="20"/>
          <w:lang w:eastAsia="en-GB"/>
          <w14:ligatures w14:val="none"/>
        </w:rPr>
        <w:t xml:space="preserve"> </w:t>
      </w:r>
      <w:hyperlink r:id="rId23" w:history="1">
        <w:r w:rsidR="000E084B" w:rsidRPr="000E084B">
          <w:rPr>
            <w:rStyle w:val="Hyperlink"/>
            <w:rFonts w:ascii="Arial" w:eastAsia="Times New Roman" w:hAnsi="Arial" w:cs="Arial"/>
            <w:color w:val="0000FF"/>
            <w:kern w:val="0"/>
            <w:sz w:val="20"/>
            <w:szCs w:val="20"/>
            <w:lang w:eastAsia="en-GB"/>
            <w14:ligatures w14:val="none"/>
          </w:rPr>
          <w:t>https://doi.org/10.3897/folmed.67.e153542</w:t>
        </w:r>
      </w:hyperlink>
      <w:bookmarkEnd w:id="14"/>
      <w:r w:rsidR="000E084B">
        <w:rPr>
          <w:rFonts w:ascii="Arial" w:eastAsia="Times New Roman" w:hAnsi="Arial" w:cs="Arial"/>
          <w:color w:val="0F1115"/>
          <w:kern w:val="0"/>
          <w:sz w:val="20"/>
          <w:szCs w:val="20"/>
          <w:lang w:eastAsia="en-GB"/>
          <w14:ligatures w14:val="none"/>
        </w:rPr>
        <w:t xml:space="preserve"> </w:t>
      </w:r>
    </w:p>
    <w:p w14:paraId="238788FC" w14:textId="32E91D67" w:rsidR="00A111CD" w:rsidRPr="00A111CD" w:rsidRDefault="00A111CD" w:rsidP="0053100B">
      <w:pPr>
        <w:pStyle w:val="ListParagraph"/>
        <w:numPr>
          <w:ilvl w:val="0"/>
          <w:numId w:val="2"/>
        </w:numPr>
        <w:shd w:val="clear" w:color="auto" w:fill="FFFFFF"/>
        <w:spacing w:after="0" w:line="240" w:lineRule="auto"/>
        <w:ind w:left="288" w:hanging="288"/>
        <w:jc w:val="both"/>
        <w:rPr>
          <w:rFonts w:ascii="Arial" w:eastAsia="Times New Roman" w:hAnsi="Arial" w:cs="Arial"/>
          <w:color w:val="000000" w:themeColor="text1"/>
          <w:kern w:val="0"/>
          <w:sz w:val="20"/>
          <w:szCs w:val="20"/>
          <w:lang w:eastAsia="en-GB"/>
          <w14:ligatures w14:val="none"/>
        </w:rPr>
      </w:pPr>
      <w:bookmarkStart w:id="15" w:name="_Ref229581423"/>
      <w:bookmarkStart w:id="16" w:name="_Ref229570290"/>
      <w:r w:rsidRPr="00A111CD">
        <w:rPr>
          <w:rFonts w:ascii="Arial" w:eastAsia="Times New Roman" w:hAnsi="Arial" w:cs="Arial"/>
          <w:color w:val="000000" w:themeColor="text1"/>
          <w:kern w:val="0"/>
          <w:sz w:val="20"/>
          <w:szCs w:val="20"/>
          <w:lang w:eastAsia="en-GB"/>
          <w14:ligatures w14:val="none"/>
        </w:rPr>
        <w:t>Wasilewski MA, Myers VD, Recchia FA, Feldman AM, Tilley DG. Arginine vasopressin receptor signaling and functional outcomes in heart failure. Cell Signal. 2016 Mar 1;28(3):224-33.</w:t>
      </w:r>
      <w:r>
        <w:rPr>
          <w:rFonts w:ascii="Arial" w:eastAsia="Times New Roman" w:hAnsi="Arial" w:cs="Arial"/>
          <w:color w:val="000000" w:themeColor="text1"/>
          <w:kern w:val="0"/>
          <w:sz w:val="20"/>
          <w:szCs w:val="20"/>
          <w:lang w:eastAsia="en-GB"/>
          <w14:ligatures w14:val="none"/>
        </w:rPr>
        <w:t xml:space="preserve"> </w:t>
      </w:r>
      <w:hyperlink r:id="rId24" w:history="1">
        <w:r w:rsidRPr="00A111CD">
          <w:rPr>
            <w:rStyle w:val="Hyperlink"/>
            <w:rFonts w:ascii="Arial" w:eastAsia="Times New Roman" w:hAnsi="Arial" w:cs="Arial"/>
            <w:color w:val="0000FF"/>
            <w:kern w:val="0"/>
            <w:sz w:val="20"/>
            <w:szCs w:val="20"/>
            <w:lang w:eastAsia="en-GB"/>
            <w14:ligatures w14:val="none"/>
          </w:rPr>
          <w:t>https://doi.org/10.1016/j.cellsig.2015.07.021</w:t>
        </w:r>
      </w:hyperlink>
      <w:bookmarkEnd w:id="15"/>
      <w:r w:rsidRPr="00A111CD">
        <w:rPr>
          <w:rFonts w:ascii="Arial" w:eastAsia="Times New Roman" w:hAnsi="Arial" w:cs="Arial"/>
          <w:color w:val="0000FF"/>
          <w:kern w:val="0"/>
          <w:sz w:val="20"/>
          <w:szCs w:val="20"/>
          <w:lang w:eastAsia="en-GB"/>
          <w14:ligatures w14:val="none"/>
        </w:rPr>
        <w:t xml:space="preserve"> </w:t>
      </w:r>
    </w:p>
    <w:p w14:paraId="59CDEF85" w14:textId="481BBA97" w:rsidR="0053100B" w:rsidRDefault="00F74190" w:rsidP="0053100B">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r w:rsidRPr="00F74190">
        <w:rPr>
          <w:rFonts w:ascii="Arial" w:eastAsia="Times New Roman" w:hAnsi="Arial" w:cs="Arial"/>
          <w:color w:val="0F1115"/>
          <w:kern w:val="0"/>
          <w:sz w:val="20"/>
          <w:szCs w:val="20"/>
          <w:lang w:eastAsia="en-GB"/>
          <w14:ligatures w14:val="none"/>
        </w:rPr>
        <w:t xml:space="preserve">Voors AA, von Haehling S, Anker SD, Hillege HL, Struck J, Hartmann O, Bergmann A, Squire I, van Veldhuisen DJ, Dickstein K. C-terminal provasopressin (copeptin) is a strong prognostic marker in patients with heart failure after an acute myocardial infarction: results from the OPTIMAAL study. European </w:t>
      </w:r>
      <w:r w:rsidR="00B56A0D">
        <w:rPr>
          <w:rFonts w:ascii="Arial" w:eastAsia="Times New Roman" w:hAnsi="Arial" w:cs="Arial"/>
          <w:color w:val="0F1115"/>
          <w:kern w:val="0"/>
          <w:sz w:val="20"/>
          <w:szCs w:val="20"/>
          <w:lang w:eastAsia="en-GB"/>
          <w14:ligatures w14:val="none"/>
        </w:rPr>
        <w:t>H</w:t>
      </w:r>
      <w:r w:rsidRPr="00F74190">
        <w:rPr>
          <w:rFonts w:ascii="Arial" w:eastAsia="Times New Roman" w:hAnsi="Arial" w:cs="Arial"/>
          <w:color w:val="0F1115"/>
          <w:kern w:val="0"/>
          <w:sz w:val="20"/>
          <w:szCs w:val="20"/>
          <w:lang w:eastAsia="en-GB"/>
          <w14:ligatures w14:val="none"/>
        </w:rPr>
        <w:t xml:space="preserve">eart </w:t>
      </w:r>
      <w:r w:rsidR="00B56A0D">
        <w:rPr>
          <w:rFonts w:ascii="Arial" w:eastAsia="Times New Roman" w:hAnsi="Arial" w:cs="Arial"/>
          <w:color w:val="0F1115"/>
          <w:kern w:val="0"/>
          <w:sz w:val="20"/>
          <w:szCs w:val="20"/>
          <w:lang w:eastAsia="en-GB"/>
          <w14:ligatures w14:val="none"/>
        </w:rPr>
        <w:t>J</w:t>
      </w:r>
      <w:r w:rsidRPr="00F74190">
        <w:rPr>
          <w:rFonts w:ascii="Arial" w:eastAsia="Times New Roman" w:hAnsi="Arial" w:cs="Arial"/>
          <w:color w:val="0F1115"/>
          <w:kern w:val="0"/>
          <w:sz w:val="20"/>
          <w:szCs w:val="20"/>
          <w:lang w:eastAsia="en-GB"/>
          <w14:ligatures w14:val="none"/>
        </w:rPr>
        <w:t>ournal. 2009 May 1;30(10):1187-94.</w:t>
      </w:r>
      <w:r w:rsidR="000E084B">
        <w:rPr>
          <w:rFonts w:ascii="Arial" w:eastAsia="Times New Roman" w:hAnsi="Arial" w:cs="Arial"/>
          <w:color w:val="0F1115"/>
          <w:kern w:val="0"/>
          <w:sz w:val="20"/>
          <w:szCs w:val="20"/>
          <w:lang w:eastAsia="en-GB"/>
          <w14:ligatures w14:val="none"/>
        </w:rPr>
        <w:t xml:space="preserve"> </w:t>
      </w:r>
      <w:hyperlink r:id="rId25" w:history="1">
        <w:r w:rsidR="000E084B" w:rsidRPr="000E084B">
          <w:rPr>
            <w:rStyle w:val="Hyperlink"/>
            <w:rFonts w:ascii="Arial" w:eastAsia="Times New Roman" w:hAnsi="Arial" w:cs="Arial"/>
            <w:color w:val="0000FF"/>
            <w:kern w:val="0"/>
            <w:sz w:val="20"/>
            <w:szCs w:val="20"/>
            <w:lang w:eastAsia="en-GB"/>
            <w14:ligatures w14:val="none"/>
          </w:rPr>
          <w:t>https://doi.org/10.1093/eurheartj/ehp098</w:t>
        </w:r>
      </w:hyperlink>
      <w:bookmarkEnd w:id="16"/>
      <w:r w:rsidR="000E084B">
        <w:rPr>
          <w:rFonts w:ascii="Arial" w:eastAsia="Times New Roman" w:hAnsi="Arial" w:cs="Arial"/>
          <w:color w:val="0F1115"/>
          <w:kern w:val="0"/>
          <w:sz w:val="20"/>
          <w:szCs w:val="20"/>
          <w:lang w:eastAsia="en-GB"/>
          <w14:ligatures w14:val="none"/>
        </w:rPr>
        <w:t xml:space="preserve"> </w:t>
      </w:r>
    </w:p>
    <w:p w14:paraId="7CA5AB57" w14:textId="33B05C29" w:rsidR="0053100B" w:rsidRPr="00A111CD" w:rsidRDefault="0053100B" w:rsidP="0053100B">
      <w:pPr>
        <w:pStyle w:val="ListParagraph"/>
        <w:numPr>
          <w:ilvl w:val="0"/>
          <w:numId w:val="2"/>
        </w:numPr>
        <w:shd w:val="clear" w:color="auto" w:fill="FFFFFF"/>
        <w:spacing w:after="0" w:line="240" w:lineRule="auto"/>
        <w:ind w:left="288" w:hanging="288"/>
        <w:jc w:val="both"/>
        <w:rPr>
          <w:rFonts w:ascii="Arial" w:eastAsia="Times New Roman" w:hAnsi="Arial" w:cs="Arial"/>
          <w:color w:val="000000" w:themeColor="text1"/>
          <w:kern w:val="0"/>
          <w:sz w:val="20"/>
          <w:szCs w:val="20"/>
          <w:lang w:eastAsia="en-GB"/>
          <w14:ligatures w14:val="none"/>
        </w:rPr>
      </w:pPr>
      <w:bookmarkStart w:id="17" w:name="_Ref229581443"/>
      <w:r w:rsidRPr="00A111CD">
        <w:rPr>
          <w:rFonts w:ascii="Arial" w:eastAsia="Times New Roman" w:hAnsi="Arial" w:cs="Arial"/>
          <w:color w:val="000000" w:themeColor="text1"/>
          <w:kern w:val="0"/>
          <w:sz w:val="20"/>
          <w:szCs w:val="20"/>
          <w:lang w:eastAsia="en-GB"/>
          <w14:ligatures w14:val="none"/>
        </w:rPr>
        <w:t xml:space="preserve">Frayeeh SA, Al Timimi RJM, Basheer M. Diagnostic Value of miRNA 208a and Pregnancy Associated Plasma Protein A (PAPP A) in Relation to </w:t>
      </w:r>
      <w:r w:rsidR="000373A5" w:rsidRPr="00A111CD">
        <w:rPr>
          <w:rFonts w:ascii="Arial" w:eastAsia="Times New Roman" w:hAnsi="Arial" w:cs="Arial"/>
          <w:color w:val="000000" w:themeColor="text1"/>
          <w:kern w:val="0"/>
          <w:sz w:val="20"/>
          <w:szCs w:val="20"/>
          <w:lang w:eastAsia="en-GB"/>
          <w14:ligatures w14:val="none"/>
        </w:rPr>
        <w:t>N-Terminal</w:t>
      </w:r>
      <w:r w:rsidRPr="00A111CD">
        <w:rPr>
          <w:rFonts w:ascii="Arial" w:eastAsia="Times New Roman" w:hAnsi="Arial" w:cs="Arial"/>
          <w:color w:val="000000" w:themeColor="text1"/>
          <w:kern w:val="0"/>
          <w:sz w:val="20"/>
          <w:szCs w:val="20"/>
          <w:lang w:eastAsia="en-GB"/>
          <w14:ligatures w14:val="none"/>
        </w:rPr>
        <w:t xml:space="preserve"> Pro </w:t>
      </w:r>
      <w:r w:rsidR="000373A5" w:rsidRPr="00A111CD">
        <w:rPr>
          <w:rFonts w:ascii="Arial" w:eastAsia="Times New Roman" w:hAnsi="Arial" w:cs="Arial"/>
          <w:color w:val="000000" w:themeColor="text1"/>
          <w:kern w:val="0"/>
          <w:sz w:val="20"/>
          <w:szCs w:val="20"/>
          <w:lang w:eastAsia="en-GB"/>
          <w14:ligatures w14:val="none"/>
        </w:rPr>
        <w:t>B-Type</w:t>
      </w:r>
      <w:r w:rsidRPr="00A111CD">
        <w:rPr>
          <w:rFonts w:ascii="Arial" w:eastAsia="Times New Roman" w:hAnsi="Arial" w:cs="Arial"/>
          <w:color w:val="000000" w:themeColor="text1"/>
          <w:kern w:val="0"/>
          <w:sz w:val="20"/>
          <w:szCs w:val="20"/>
          <w:lang w:eastAsia="en-GB"/>
          <w14:ligatures w14:val="none"/>
        </w:rPr>
        <w:t xml:space="preserve"> Natriuretic Peptide (NT proBNP) for Early Detection of Heart Failure with Preserved Ejection Fraction</w:t>
      </w:r>
      <w:r w:rsidR="00993AA4" w:rsidRPr="00A111CD">
        <w:rPr>
          <w:rFonts w:ascii="Arial" w:eastAsia="Times New Roman" w:hAnsi="Arial" w:cs="Arial"/>
          <w:color w:val="000000" w:themeColor="text1"/>
          <w:kern w:val="0"/>
          <w:sz w:val="20"/>
          <w:szCs w:val="20"/>
          <w:lang w:eastAsia="en-GB"/>
          <w14:ligatures w14:val="none"/>
        </w:rPr>
        <w:t>. Babcock Univ Med J 2024;7(1):12–20.</w:t>
      </w:r>
      <w:bookmarkEnd w:id="17"/>
      <w:r w:rsidR="00993AA4" w:rsidRPr="00A111CD">
        <w:rPr>
          <w:rFonts w:ascii="Arial" w:eastAsia="Times New Roman" w:hAnsi="Arial" w:cs="Arial"/>
          <w:color w:val="000000" w:themeColor="text1"/>
          <w:kern w:val="0"/>
          <w:sz w:val="20"/>
          <w:szCs w:val="20"/>
          <w:lang w:eastAsia="en-GB"/>
          <w14:ligatures w14:val="none"/>
        </w:rPr>
        <w:t xml:space="preserve"> </w:t>
      </w:r>
    </w:p>
    <w:p w14:paraId="5F2F64AF" w14:textId="46967A1E" w:rsidR="00D73BFC" w:rsidRPr="00B32D25" w:rsidRDefault="00A34823"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8" w:name="_Ref229570311"/>
      <w:r w:rsidRPr="00A34823">
        <w:rPr>
          <w:rFonts w:ascii="Arial" w:eastAsia="Times New Roman" w:hAnsi="Arial" w:cs="Arial"/>
          <w:color w:val="0F1115"/>
          <w:kern w:val="0"/>
          <w:sz w:val="20"/>
          <w:szCs w:val="20"/>
          <w:lang w:eastAsia="en-GB"/>
          <w14:ligatures w14:val="none"/>
        </w:rPr>
        <w:t xml:space="preserve">Mahajan K, Negi PC, Ganju N, Asotra S. Cardiac biomarker-based risk stratification algorithm in patients with severe COVID-19. Diabetes &amp; Metabolic Syndrome: Clinical </w:t>
      </w:r>
      <w:r w:rsidRPr="00A34823">
        <w:rPr>
          <w:rFonts w:ascii="Arial" w:eastAsia="Times New Roman" w:hAnsi="Arial" w:cs="Arial"/>
          <w:color w:val="0F1115"/>
          <w:kern w:val="0"/>
          <w:sz w:val="20"/>
          <w:szCs w:val="20"/>
          <w:lang w:eastAsia="en-GB"/>
          <w14:ligatures w14:val="none"/>
        </w:rPr>
        <w:lastRenderedPageBreak/>
        <w:t>Research &amp; Reviews. 2020 Sep 1;14(5):929-31.</w:t>
      </w:r>
      <w:r w:rsidR="001802DF">
        <w:rPr>
          <w:rFonts w:ascii="Arial" w:eastAsia="Times New Roman" w:hAnsi="Arial" w:cs="Arial"/>
          <w:color w:val="0F1115"/>
          <w:kern w:val="0"/>
          <w:sz w:val="20"/>
          <w:szCs w:val="20"/>
          <w:lang w:eastAsia="en-GB"/>
          <w14:ligatures w14:val="none"/>
        </w:rPr>
        <w:t xml:space="preserve"> </w:t>
      </w:r>
      <w:hyperlink r:id="rId26" w:history="1">
        <w:r w:rsidR="001802DF" w:rsidRPr="001802DF">
          <w:rPr>
            <w:rStyle w:val="Hyperlink"/>
            <w:rFonts w:ascii="Arial" w:eastAsia="Times New Roman" w:hAnsi="Arial" w:cs="Arial"/>
            <w:color w:val="0000FF"/>
            <w:kern w:val="0"/>
            <w:sz w:val="20"/>
            <w:szCs w:val="20"/>
            <w:lang w:eastAsia="en-GB"/>
            <w14:ligatures w14:val="none"/>
          </w:rPr>
          <w:t>https://doi.org/10.1016/j.dsx.2020.06.027</w:t>
        </w:r>
      </w:hyperlink>
      <w:bookmarkEnd w:id="18"/>
      <w:r w:rsidR="001802DF">
        <w:rPr>
          <w:rFonts w:ascii="Arial" w:eastAsia="Times New Roman" w:hAnsi="Arial" w:cs="Arial"/>
          <w:color w:val="0F1115"/>
          <w:kern w:val="0"/>
          <w:sz w:val="20"/>
          <w:szCs w:val="20"/>
          <w:lang w:eastAsia="en-GB"/>
          <w14:ligatures w14:val="none"/>
        </w:rPr>
        <w:t xml:space="preserve"> </w:t>
      </w:r>
    </w:p>
    <w:p w14:paraId="38366850" w14:textId="5BCBA732" w:rsidR="00D73BFC" w:rsidRPr="00B32D25" w:rsidRDefault="00A34823"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9" w:name="_Ref229570369"/>
      <w:r w:rsidRPr="00A34823">
        <w:rPr>
          <w:rFonts w:ascii="Arial" w:eastAsia="Times New Roman" w:hAnsi="Arial" w:cs="Arial"/>
          <w:color w:val="0F1115"/>
          <w:kern w:val="0"/>
          <w:sz w:val="20"/>
          <w:szCs w:val="20"/>
          <w:lang w:eastAsia="en-GB"/>
          <w14:ligatures w14:val="none"/>
        </w:rPr>
        <w:t>Jehn S, Mahabadi AA, Pfohl C, Vogel L, Al-Rashid F, Luedike P, Totzeck M, Rassaf T, Dykun I. BNP and NT-proBNP thresholds for the assessment of prognosis in patients without heart failure. JACC: Advances. 2023 Dec 1;2(10):100688.</w:t>
      </w:r>
      <w:r w:rsidR="001802DF">
        <w:rPr>
          <w:rFonts w:ascii="Arial" w:eastAsia="Times New Roman" w:hAnsi="Arial" w:cs="Arial"/>
          <w:color w:val="0F1115"/>
          <w:kern w:val="0"/>
          <w:sz w:val="20"/>
          <w:szCs w:val="20"/>
          <w:lang w:eastAsia="en-GB"/>
          <w14:ligatures w14:val="none"/>
        </w:rPr>
        <w:t xml:space="preserve"> </w:t>
      </w:r>
      <w:hyperlink r:id="rId27" w:history="1">
        <w:r w:rsidR="001802DF" w:rsidRPr="001802DF">
          <w:rPr>
            <w:rStyle w:val="Hyperlink"/>
            <w:rFonts w:ascii="Arial" w:eastAsia="Times New Roman" w:hAnsi="Arial" w:cs="Arial"/>
            <w:color w:val="0000FF"/>
            <w:kern w:val="0"/>
            <w:sz w:val="20"/>
            <w:szCs w:val="20"/>
            <w:lang w:eastAsia="en-GB"/>
            <w14:ligatures w14:val="none"/>
          </w:rPr>
          <w:t>https://doi.org/10.1016/j.jacadv.2023.100688</w:t>
        </w:r>
      </w:hyperlink>
      <w:bookmarkEnd w:id="19"/>
      <w:r w:rsidR="001802DF">
        <w:rPr>
          <w:rFonts w:ascii="Arial" w:eastAsia="Times New Roman" w:hAnsi="Arial" w:cs="Arial"/>
          <w:color w:val="0F1115"/>
          <w:kern w:val="0"/>
          <w:sz w:val="20"/>
          <w:szCs w:val="20"/>
          <w:lang w:eastAsia="en-GB"/>
          <w14:ligatures w14:val="none"/>
        </w:rPr>
        <w:t xml:space="preserve"> </w:t>
      </w:r>
    </w:p>
    <w:p w14:paraId="1A4C9DA1" w14:textId="08B3DF47" w:rsidR="00D73BFC" w:rsidRPr="00B32D25" w:rsidRDefault="00A111CD"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0" w:name="_Ref229581478"/>
      <w:r w:rsidRPr="00A111CD">
        <w:rPr>
          <w:rFonts w:ascii="Arial" w:eastAsia="Times New Roman" w:hAnsi="Arial" w:cs="Arial"/>
          <w:color w:val="000000" w:themeColor="text1"/>
          <w:kern w:val="0"/>
          <w:sz w:val="20"/>
          <w:szCs w:val="20"/>
          <w:lang w:eastAsia="en-GB"/>
          <w14:ligatures w14:val="none"/>
        </w:rPr>
        <w:t>Mueller C, Scholer A, Laule-Kilian K, Martina B, Schindler C, Buser P, Pfisterer M, Perruchoud AP. Use of B-type natriuretic peptide in the evaluation and management of acute dyspnea. New England Journal of Medicine. 2004 Feb 12;350(7):647-54.</w:t>
      </w:r>
      <w:r w:rsidR="001802DF">
        <w:rPr>
          <w:rFonts w:ascii="Arial" w:eastAsia="Times New Roman" w:hAnsi="Arial" w:cs="Arial"/>
          <w:color w:val="EE0000"/>
          <w:kern w:val="0"/>
          <w:sz w:val="20"/>
          <w:szCs w:val="20"/>
          <w:lang w:eastAsia="en-GB"/>
          <w14:ligatures w14:val="none"/>
        </w:rPr>
        <w:t xml:space="preserve"> </w:t>
      </w:r>
      <w:hyperlink r:id="rId28" w:history="1">
        <w:r w:rsidR="001802DF" w:rsidRPr="001802DF">
          <w:rPr>
            <w:rStyle w:val="Hyperlink"/>
            <w:rFonts w:ascii="Arial" w:eastAsia="Times New Roman" w:hAnsi="Arial" w:cs="Arial"/>
            <w:color w:val="0000FF"/>
            <w:kern w:val="0"/>
            <w:sz w:val="20"/>
            <w:szCs w:val="20"/>
            <w:lang w:eastAsia="en-GB"/>
            <w14:ligatures w14:val="none"/>
          </w:rPr>
          <w:t>https://doi.org/10.1056/NEJMoa031681</w:t>
        </w:r>
      </w:hyperlink>
      <w:bookmarkEnd w:id="20"/>
      <w:r w:rsidR="001802DF">
        <w:rPr>
          <w:rFonts w:ascii="Arial" w:eastAsia="Times New Roman" w:hAnsi="Arial" w:cs="Arial"/>
          <w:color w:val="EE0000"/>
          <w:kern w:val="0"/>
          <w:sz w:val="20"/>
          <w:szCs w:val="20"/>
          <w:lang w:eastAsia="en-GB"/>
          <w14:ligatures w14:val="none"/>
        </w:rPr>
        <w:t xml:space="preserve"> </w:t>
      </w:r>
    </w:p>
    <w:p w14:paraId="0847F7CB" w14:textId="6F7154FD" w:rsidR="00D73BFC" w:rsidRPr="00B32D25" w:rsidRDefault="00A34823"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1" w:name="_Ref229570379"/>
      <w:r w:rsidRPr="00A34823">
        <w:rPr>
          <w:rFonts w:ascii="Arial" w:eastAsia="Times New Roman" w:hAnsi="Arial" w:cs="Arial"/>
          <w:color w:val="0F1115"/>
          <w:kern w:val="0"/>
          <w:sz w:val="20"/>
          <w:szCs w:val="20"/>
          <w:lang w:eastAsia="en-GB"/>
          <w14:ligatures w14:val="none"/>
        </w:rPr>
        <w:t>McCullough PA, Nowak RM, McCord J, Hollander JE, Herrmann HC, Steg PG, Duc P, Westheim A, Omland T, Knudsen CW, Storrow AB. B-type natriuretic peptide and clinical judgment in emergency diagnosis of heart failure: analysis from Breathing Not Properly (BNP) Multinational Study. Circulation. 2002 Jul 23;106(4):416-22.</w:t>
      </w:r>
      <w:r w:rsidR="001802DF">
        <w:rPr>
          <w:rFonts w:ascii="Arial" w:eastAsia="Times New Roman" w:hAnsi="Arial" w:cs="Arial"/>
          <w:color w:val="0F1115"/>
          <w:kern w:val="0"/>
          <w:sz w:val="20"/>
          <w:szCs w:val="20"/>
          <w:lang w:eastAsia="en-GB"/>
          <w14:ligatures w14:val="none"/>
        </w:rPr>
        <w:t xml:space="preserve"> </w:t>
      </w:r>
      <w:hyperlink r:id="rId29" w:history="1">
        <w:r w:rsidR="001802DF" w:rsidRPr="001802DF">
          <w:rPr>
            <w:rStyle w:val="Hyperlink"/>
            <w:rFonts w:ascii="Arial" w:eastAsia="Times New Roman" w:hAnsi="Arial" w:cs="Arial"/>
            <w:color w:val="0000FF"/>
            <w:kern w:val="0"/>
            <w:sz w:val="20"/>
            <w:szCs w:val="20"/>
            <w:lang w:eastAsia="en-GB"/>
            <w14:ligatures w14:val="none"/>
          </w:rPr>
          <w:t>https://doi.org/10.1161/01.CIR.0000025242.79963.4C</w:t>
        </w:r>
      </w:hyperlink>
      <w:bookmarkEnd w:id="21"/>
      <w:r w:rsidR="001802DF">
        <w:rPr>
          <w:rFonts w:ascii="Arial" w:eastAsia="Times New Roman" w:hAnsi="Arial" w:cs="Arial"/>
          <w:color w:val="0F1115"/>
          <w:kern w:val="0"/>
          <w:sz w:val="20"/>
          <w:szCs w:val="20"/>
          <w:lang w:eastAsia="en-GB"/>
          <w14:ligatures w14:val="none"/>
        </w:rPr>
        <w:t xml:space="preserve"> </w:t>
      </w:r>
    </w:p>
    <w:p w14:paraId="4BF9D31A" w14:textId="6A5CFC77" w:rsidR="00D73BFC" w:rsidRPr="00B32D25" w:rsidRDefault="00A34823"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2" w:name="_Ref229570389"/>
      <w:r w:rsidRPr="00A34823">
        <w:rPr>
          <w:rFonts w:ascii="Arial" w:eastAsia="Times New Roman" w:hAnsi="Arial" w:cs="Arial"/>
          <w:color w:val="0F1115"/>
          <w:kern w:val="0"/>
          <w:sz w:val="20"/>
          <w:szCs w:val="20"/>
          <w:lang w:eastAsia="en-GB"/>
          <w14:ligatures w14:val="none"/>
        </w:rPr>
        <w:t xml:space="preserve">Januzzi Jr JL, Camargo CA, Anwaruddin S, Baggish AL, Chen AA, Krauser DG, Tung R, Cameron R, Nagurney JT, Chae CU, Lloyd-Jones DM. The N-terminal Pro-BNP investigation of dyspnea in the emergency department (PRIDE) study. The American </w:t>
      </w:r>
      <w:r w:rsidR="00B56A0D">
        <w:rPr>
          <w:rFonts w:ascii="Arial" w:eastAsia="Times New Roman" w:hAnsi="Arial" w:cs="Arial"/>
          <w:color w:val="0F1115"/>
          <w:kern w:val="0"/>
          <w:sz w:val="20"/>
          <w:szCs w:val="20"/>
          <w:lang w:eastAsia="en-GB"/>
          <w14:ligatures w14:val="none"/>
        </w:rPr>
        <w:t>J</w:t>
      </w:r>
      <w:r w:rsidRPr="00A34823">
        <w:rPr>
          <w:rFonts w:ascii="Arial" w:eastAsia="Times New Roman" w:hAnsi="Arial" w:cs="Arial"/>
          <w:color w:val="0F1115"/>
          <w:kern w:val="0"/>
          <w:sz w:val="20"/>
          <w:szCs w:val="20"/>
          <w:lang w:eastAsia="en-GB"/>
          <w14:ligatures w14:val="none"/>
        </w:rPr>
        <w:t xml:space="preserve">ournal of </w:t>
      </w:r>
      <w:r w:rsidR="00B56A0D">
        <w:rPr>
          <w:rFonts w:ascii="Arial" w:eastAsia="Times New Roman" w:hAnsi="Arial" w:cs="Arial"/>
          <w:color w:val="0F1115"/>
          <w:kern w:val="0"/>
          <w:sz w:val="20"/>
          <w:szCs w:val="20"/>
          <w:lang w:eastAsia="en-GB"/>
          <w14:ligatures w14:val="none"/>
        </w:rPr>
        <w:t>C</w:t>
      </w:r>
      <w:r w:rsidRPr="00A34823">
        <w:rPr>
          <w:rFonts w:ascii="Arial" w:eastAsia="Times New Roman" w:hAnsi="Arial" w:cs="Arial"/>
          <w:color w:val="0F1115"/>
          <w:kern w:val="0"/>
          <w:sz w:val="20"/>
          <w:szCs w:val="20"/>
          <w:lang w:eastAsia="en-GB"/>
          <w14:ligatures w14:val="none"/>
        </w:rPr>
        <w:t>ardiology. 2005 Apr 15;95(8):948-54.</w:t>
      </w:r>
      <w:r w:rsidR="001802DF">
        <w:rPr>
          <w:rFonts w:ascii="Arial" w:eastAsia="Times New Roman" w:hAnsi="Arial" w:cs="Arial"/>
          <w:color w:val="0F1115"/>
          <w:kern w:val="0"/>
          <w:sz w:val="20"/>
          <w:szCs w:val="20"/>
          <w:lang w:eastAsia="en-GB"/>
          <w14:ligatures w14:val="none"/>
        </w:rPr>
        <w:t xml:space="preserve"> </w:t>
      </w:r>
      <w:hyperlink r:id="rId30" w:history="1">
        <w:r w:rsidR="001802DF" w:rsidRPr="001802DF">
          <w:rPr>
            <w:rStyle w:val="Hyperlink"/>
            <w:rFonts w:ascii="Arial" w:eastAsia="Times New Roman" w:hAnsi="Arial" w:cs="Arial"/>
            <w:color w:val="0000FF"/>
            <w:kern w:val="0"/>
            <w:sz w:val="20"/>
            <w:szCs w:val="20"/>
            <w:lang w:eastAsia="en-GB"/>
            <w14:ligatures w14:val="none"/>
          </w:rPr>
          <w:t>https://doi.org/10.1016/j.amjcard.2004.12.032</w:t>
        </w:r>
      </w:hyperlink>
      <w:bookmarkEnd w:id="22"/>
      <w:r w:rsidR="001802DF">
        <w:rPr>
          <w:rFonts w:ascii="Arial" w:eastAsia="Times New Roman" w:hAnsi="Arial" w:cs="Arial"/>
          <w:color w:val="0F1115"/>
          <w:kern w:val="0"/>
          <w:sz w:val="20"/>
          <w:szCs w:val="20"/>
          <w:lang w:eastAsia="en-GB"/>
          <w14:ligatures w14:val="none"/>
        </w:rPr>
        <w:t xml:space="preserve"> </w:t>
      </w:r>
    </w:p>
    <w:p w14:paraId="756A32DF" w14:textId="5D7E3381" w:rsidR="00A111CD" w:rsidRPr="00A111CD" w:rsidRDefault="00A111CD"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00000" w:themeColor="text1"/>
          <w:kern w:val="0"/>
          <w:sz w:val="20"/>
          <w:szCs w:val="20"/>
          <w:lang w:eastAsia="en-GB"/>
          <w14:ligatures w14:val="none"/>
        </w:rPr>
      </w:pPr>
      <w:bookmarkStart w:id="23" w:name="_Ref229581483"/>
      <w:bookmarkStart w:id="24" w:name="_Ref229570427"/>
      <w:r w:rsidRPr="00A111CD">
        <w:rPr>
          <w:rFonts w:ascii="Arial" w:eastAsia="Times New Roman" w:hAnsi="Arial" w:cs="Arial"/>
          <w:color w:val="000000" w:themeColor="text1"/>
          <w:kern w:val="0"/>
          <w:sz w:val="20"/>
          <w:szCs w:val="20"/>
          <w:lang w:eastAsia="en-GB"/>
          <w14:ligatures w14:val="none"/>
        </w:rPr>
        <w:t>Birrell H, Isles C, Fersia O, Anwar M, Mondoa C, McFadyen A. Assessment of the diagnostic value of NT-proBNP in heart failure with preserved ejection fraction. The British Journal of Cardiology. 2024 Jan 16;31(1):002.</w:t>
      </w:r>
      <w:r w:rsidR="00BD666D">
        <w:rPr>
          <w:rFonts w:ascii="Arial" w:eastAsia="Times New Roman" w:hAnsi="Arial" w:cs="Arial"/>
          <w:color w:val="000000" w:themeColor="text1"/>
          <w:kern w:val="0"/>
          <w:sz w:val="20"/>
          <w:szCs w:val="20"/>
          <w:lang w:eastAsia="en-GB"/>
          <w14:ligatures w14:val="none"/>
        </w:rPr>
        <w:t xml:space="preserve"> </w:t>
      </w:r>
      <w:hyperlink r:id="rId31" w:history="1">
        <w:r w:rsidR="00BD666D" w:rsidRPr="00BD666D">
          <w:rPr>
            <w:rStyle w:val="Hyperlink"/>
            <w:rFonts w:ascii="Arial" w:eastAsia="Times New Roman" w:hAnsi="Arial" w:cs="Arial"/>
            <w:color w:val="0000FF"/>
            <w:kern w:val="0"/>
            <w:sz w:val="20"/>
            <w:szCs w:val="20"/>
            <w:lang w:eastAsia="en-GB"/>
            <w14:ligatures w14:val="none"/>
          </w:rPr>
          <w:t>https://doi.org/10.5837/bjc.2024.002</w:t>
        </w:r>
      </w:hyperlink>
      <w:bookmarkEnd w:id="23"/>
      <w:r w:rsidR="00BD666D" w:rsidRPr="00BD666D">
        <w:rPr>
          <w:rFonts w:ascii="Arial" w:eastAsia="Times New Roman" w:hAnsi="Arial" w:cs="Arial"/>
          <w:color w:val="0000FF"/>
          <w:kern w:val="0"/>
          <w:sz w:val="20"/>
          <w:szCs w:val="20"/>
          <w:lang w:eastAsia="en-GB"/>
          <w14:ligatures w14:val="none"/>
        </w:rPr>
        <w:t xml:space="preserve"> </w:t>
      </w:r>
    </w:p>
    <w:p w14:paraId="7482AD03" w14:textId="3798A121" w:rsidR="00D73BFC" w:rsidRPr="00B32D25" w:rsidRDefault="00344723"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r w:rsidRPr="00344723">
        <w:rPr>
          <w:rFonts w:ascii="Arial" w:eastAsia="Times New Roman" w:hAnsi="Arial" w:cs="Arial"/>
          <w:color w:val="0F1115"/>
          <w:kern w:val="0"/>
          <w:sz w:val="20"/>
          <w:szCs w:val="20"/>
          <w:lang w:eastAsia="en-GB"/>
          <w14:ligatures w14:val="none"/>
        </w:rPr>
        <w:t>Gupta M, Kumar D, Gupta T. Optimizing the Use of N-terminal Pro-B-Type Natriuretic Peptide (NT-proBNP) in the Diagnosis of Heart Failure With Preserved Ejection Fraction (HFpEF): A Clinical Pathway Approach to an Underdiagnosed Entity. Cureus. 2025 Dec 13;17(12).</w:t>
      </w:r>
      <w:r w:rsidR="001802DF">
        <w:rPr>
          <w:rFonts w:ascii="Arial" w:eastAsia="Times New Roman" w:hAnsi="Arial" w:cs="Arial"/>
          <w:color w:val="0F1115"/>
          <w:kern w:val="0"/>
          <w:sz w:val="20"/>
          <w:szCs w:val="20"/>
          <w:lang w:eastAsia="en-GB"/>
          <w14:ligatures w14:val="none"/>
        </w:rPr>
        <w:t xml:space="preserve"> </w:t>
      </w:r>
      <w:hyperlink r:id="rId32" w:history="1">
        <w:r w:rsidR="001802DF" w:rsidRPr="001802DF">
          <w:rPr>
            <w:rStyle w:val="Hyperlink"/>
            <w:rFonts w:ascii="Arial" w:eastAsia="Times New Roman" w:hAnsi="Arial" w:cs="Arial"/>
            <w:color w:val="0000FF"/>
            <w:kern w:val="0"/>
            <w:sz w:val="20"/>
            <w:szCs w:val="20"/>
            <w:lang w:eastAsia="en-GB"/>
            <w14:ligatures w14:val="none"/>
          </w:rPr>
          <w:t>https://doi.org/10.7759/cureus.99161</w:t>
        </w:r>
      </w:hyperlink>
      <w:bookmarkEnd w:id="24"/>
      <w:r w:rsidR="001802DF">
        <w:rPr>
          <w:rFonts w:ascii="Arial" w:eastAsia="Times New Roman" w:hAnsi="Arial" w:cs="Arial"/>
          <w:color w:val="0F1115"/>
          <w:kern w:val="0"/>
          <w:sz w:val="20"/>
          <w:szCs w:val="20"/>
          <w:lang w:eastAsia="en-GB"/>
          <w14:ligatures w14:val="none"/>
        </w:rPr>
        <w:t xml:space="preserve"> </w:t>
      </w:r>
    </w:p>
    <w:p w14:paraId="5114C085" w14:textId="77777777" w:rsidR="00A111CD" w:rsidRPr="00A111CD" w:rsidRDefault="00A111CD"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00000" w:themeColor="text1"/>
          <w:kern w:val="0"/>
          <w:sz w:val="20"/>
          <w:szCs w:val="20"/>
          <w:lang w:eastAsia="en-GB"/>
          <w14:ligatures w14:val="none"/>
        </w:rPr>
      </w:pPr>
      <w:bookmarkStart w:id="25" w:name="_Ref229581497"/>
      <w:bookmarkStart w:id="26" w:name="_Ref229570440"/>
      <w:r w:rsidRPr="00A111CD">
        <w:rPr>
          <w:rFonts w:ascii="Arial" w:eastAsia="Times New Roman" w:hAnsi="Arial" w:cs="Arial"/>
          <w:color w:val="000000" w:themeColor="text1"/>
          <w:kern w:val="0"/>
          <w:sz w:val="20"/>
          <w:szCs w:val="20"/>
          <w:lang w:eastAsia="en-GB"/>
          <w14:ligatures w14:val="none"/>
        </w:rPr>
        <w:t>Katan M, Morgenthaler N, Widmer I, Puder JJ, Konig C, Muller B, Christ-Crain M. Copeptin, a stable peptide derived from the vasopressin precursor, correlates with the individual stress level. Neuroendocrinology Letters. 2008 Jun 1;29(3):341-6.</w:t>
      </w:r>
      <w:bookmarkEnd w:id="25"/>
    </w:p>
    <w:p w14:paraId="740C7A40" w14:textId="2ABD1856" w:rsidR="00D73BFC" w:rsidRPr="00B32D25" w:rsidRDefault="00E77DBE"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r w:rsidRPr="00E77DBE">
        <w:rPr>
          <w:rFonts w:ascii="Arial" w:eastAsia="Times New Roman" w:hAnsi="Arial" w:cs="Arial"/>
          <w:color w:val="0F1115"/>
          <w:kern w:val="0"/>
          <w:sz w:val="20"/>
          <w:szCs w:val="20"/>
          <w:lang w:eastAsia="en-GB"/>
          <w14:ligatures w14:val="none"/>
        </w:rPr>
        <w:t xml:space="preserve">Morgenthaler NG. Copeptin: a biomarker of cardiovascular and renal function. Congestive </w:t>
      </w:r>
      <w:r w:rsidR="00B56A0D">
        <w:rPr>
          <w:rFonts w:ascii="Arial" w:eastAsia="Times New Roman" w:hAnsi="Arial" w:cs="Arial"/>
          <w:color w:val="0F1115"/>
          <w:kern w:val="0"/>
          <w:sz w:val="20"/>
          <w:szCs w:val="20"/>
          <w:lang w:eastAsia="en-GB"/>
          <w14:ligatures w14:val="none"/>
        </w:rPr>
        <w:t>H</w:t>
      </w:r>
      <w:r w:rsidRPr="00E77DBE">
        <w:rPr>
          <w:rFonts w:ascii="Arial" w:eastAsia="Times New Roman" w:hAnsi="Arial" w:cs="Arial"/>
          <w:color w:val="0F1115"/>
          <w:kern w:val="0"/>
          <w:sz w:val="20"/>
          <w:szCs w:val="20"/>
          <w:lang w:eastAsia="en-GB"/>
          <w14:ligatures w14:val="none"/>
        </w:rPr>
        <w:t xml:space="preserve">eart </w:t>
      </w:r>
      <w:r w:rsidR="00B56A0D">
        <w:rPr>
          <w:rFonts w:ascii="Arial" w:eastAsia="Times New Roman" w:hAnsi="Arial" w:cs="Arial"/>
          <w:color w:val="0F1115"/>
          <w:kern w:val="0"/>
          <w:sz w:val="20"/>
          <w:szCs w:val="20"/>
          <w:lang w:eastAsia="en-GB"/>
          <w14:ligatures w14:val="none"/>
        </w:rPr>
        <w:t>F</w:t>
      </w:r>
      <w:r w:rsidRPr="00E77DBE">
        <w:rPr>
          <w:rFonts w:ascii="Arial" w:eastAsia="Times New Roman" w:hAnsi="Arial" w:cs="Arial"/>
          <w:color w:val="0F1115"/>
          <w:kern w:val="0"/>
          <w:sz w:val="20"/>
          <w:szCs w:val="20"/>
          <w:lang w:eastAsia="en-GB"/>
          <w14:ligatures w14:val="none"/>
        </w:rPr>
        <w:t>ailure. 2010 Jul;16:S37-44.</w:t>
      </w:r>
      <w:r w:rsidR="00D36E85">
        <w:rPr>
          <w:rFonts w:ascii="Arial" w:eastAsia="Times New Roman" w:hAnsi="Arial" w:cs="Arial"/>
          <w:color w:val="0F1115"/>
          <w:kern w:val="0"/>
          <w:sz w:val="20"/>
          <w:szCs w:val="20"/>
          <w:lang w:eastAsia="en-GB"/>
          <w14:ligatures w14:val="none"/>
        </w:rPr>
        <w:t xml:space="preserve"> </w:t>
      </w:r>
      <w:hyperlink r:id="rId33" w:history="1">
        <w:r w:rsidR="00D36E85" w:rsidRPr="00D36E85">
          <w:rPr>
            <w:rStyle w:val="Hyperlink"/>
            <w:rFonts w:ascii="Arial" w:eastAsia="Times New Roman" w:hAnsi="Arial" w:cs="Arial"/>
            <w:color w:val="0000FF"/>
            <w:kern w:val="0"/>
            <w:sz w:val="20"/>
            <w:szCs w:val="20"/>
            <w:lang w:eastAsia="en-GB"/>
            <w14:ligatures w14:val="none"/>
          </w:rPr>
          <w:t>https://doi.org/10.1111/j.1751-7133.2010.00177.x</w:t>
        </w:r>
      </w:hyperlink>
      <w:bookmarkEnd w:id="26"/>
      <w:r w:rsidR="00D36E85">
        <w:rPr>
          <w:rFonts w:ascii="Arial" w:eastAsia="Times New Roman" w:hAnsi="Arial" w:cs="Arial"/>
          <w:color w:val="0F1115"/>
          <w:kern w:val="0"/>
          <w:sz w:val="20"/>
          <w:szCs w:val="20"/>
          <w:lang w:eastAsia="en-GB"/>
          <w14:ligatures w14:val="none"/>
        </w:rPr>
        <w:t xml:space="preserve"> </w:t>
      </w:r>
    </w:p>
    <w:p w14:paraId="1DBAE389" w14:textId="46071EBC" w:rsidR="00D73BFC" w:rsidRPr="00B32D25" w:rsidRDefault="006E27C4"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7" w:name="_Ref229570451"/>
      <w:r w:rsidRPr="006E27C4">
        <w:rPr>
          <w:rFonts w:ascii="Arial" w:eastAsia="Times New Roman" w:hAnsi="Arial" w:cs="Arial"/>
          <w:color w:val="0F1115"/>
          <w:kern w:val="0"/>
          <w:sz w:val="20"/>
          <w:szCs w:val="20"/>
          <w:lang w:eastAsia="en-GB"/>
          <w14:ligatures w14:val="none"/>
        </w:rPr>
        <w:t>Mu D, Cheng J, Qiu L, Cheng X. Copeptin as a diagnostic and prognostic biomarker in cardiovascular diseases. Frontiers in Cardiovascular Medicine. 2022 Jul 4;9:901990.</w:t>
      </w:r>
      <w:r w:rsidR="00D36E85">
        <w:rPr>
          <w:rFonts w:ascii="Arial" w:eastAsia="Times New Roman" w:hAnsi="Arial" w:cs="Arial"/>
          <w:color w:val="0F1115"/>
          <w:kern w:val="0"/>
          <w:sz w:val="20"/>
          <w:szCs w:val="20"/>
          <w:lang w:eastAsia="en-GB"/>
          <w14:ligatures w14:val="none"/>
        </w:rPr>
        <w:t xml:space="preserve"> </w:t>
      </w:r>
      <w:hyperlink r:id="rId34" w:history="1">
        <w:r w:rsidR="00D36E85" w:rsidRPr="00D36E85">
          <w:rPr>
            <w:rStyle w:val="Hyperlink"/>
            <w:rFonts w:ascii="Arial" w:eastAsia="Times New Roman" w:hAnsi="Arial" w:cs="Arial"/>
            <w:color w:val="0000FF"/>
            <w:kern w:val="0"/>
            <w:sz w:val="20"/>
            <w:szCs w:val="20"/>
            <w:lang w:eastAsia="en-GB"/>
            <w14:ligatures w14:val="none"/>
          </w:rPr>
          <w:t>https://doi.org/10.3389/fcvm.2022.901990</w:t>
        </w:r>
      </w:hyperlink>
      <w:bookmarkEnd w:id="27"/>
      <w:r w:rsidR="00D36E85">
        <w:rPr>
          <w:rFonts w:ascii="Arial" w:eastAsia="Times New Roman" w:hAnsi="Arial" w:cs="Arial"/>
          <w:color w:val="0F1115"/>
          <w:kern w:val="0"/>
          <w:sz w:val="20"/>
          <w:szCs w:val="20"/>
          <w:lang w:eastAsia="en-GB"/>
          <w14:ligatures w14:val="none"/>
        </w:rPr>
        <w:t xml:space="preserve"> </w:t>
      </w:r>
    </w:p>
    <w:p w14:paraId="25B7C308" w14:textId="6175AE89" w:rsidR="00D73BFC" w:rsidRPr="00B32D25" w:rsidRDefault="006E27C4"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8" w:name="_Ref229570480"/>
      <w:r w:rsidRPr="006E27C4">
        <w:rPr>
          <w:rFonts w:ascii="Arial" w:eastAsia="Times New Roman" w:hAnsi="Arial" w:cs="Arial"/>
          <w:color w:val="0F1115"/>
          <w:kern w:val="0"/>
          <w:sz w:val="20"/>
          <w:szCs w:val="20"/>
          <w:lang w:eastAsia="en-GB"/>
          <w14:ligatures w14:val="none"/>
        </w:rPr>
        <w:t>Zhang Z, Zhang L, Dong X, Shen B, Xiang F, Cao X, Yu J, Wang Y, Ding X, Nie Y. Copeptin associates with major adverse cardiovascular events in patients on maintenance hemodialysis. Clinica Chimica Acta. 2025 Jan 1;564:119937.</w:t>
      </w:r>
      <w:r w:rsidR="00D36E85">
        <w:rPr>
          <w:rFonts w:ascii="Arial" w:eastAsia="Times New Roman" w:hAnsi="Arial" w:cs="Arial"/>
          <w:color w:val="0F1115"/>
          <w:kern w:val="0"/>
          <w:sz w:val="20"/>
          <w:szCs w:val="20"/>
          <w:lang w:eastAsia="en-GB"/>
          <w14:ligatures w14:val="none"/>
        </w:rPr>
        <w:t xml:space="preserve"> </w:t>
      </w:r>
      <w:hyperlink r:id="rId35" w:history="1">
        <w:r w:rsidR="00D36E85" w:rsidRPr="00D36E85">
          <w:rPr>
            <w:rStyle w:val="Hyperlink"/>
            <w:rFonts w:ascii="Arial" w:eastAsia="Times New Roman" w:hAnsi="Arial" w:cs="Arial"/>
            <w:color w:val="0000FF"/>
            <w:kern w:val="0"/>
            <w:sz w:val="20"/>
            <w:szCs w:val="20"/>
            <w:lang w:eastAsia="en-GB"/>
            <w14:ligatures w14:val="none"/>
          </w:rPr>
          <w:t>https://doi.org/10.1016/j.cca.2024.119937</w:t>
        </w:r>
      </w:hyperlink>
      <w:bookmarkEnd w:id="28"/>
      <w:r w:rsidR="00D36E85">
        <w:rPr>
          <w:rFonts w:ascii="Arial" w:eastAsia="Times New Roman" w:hAnsi="Arial" w:cs="Arial"/>
          <w:color w:val="0F1115"/>
          <w:kern w:val="0"/>
          <w:sz w:val="20"/>
          <w:szCs w:val="20"/>
          <w:lang w:eastAsia="en-GB"/>
          <w14:ligatures w14:val="none"/>
        </w:rPr>
        <w:t xml:space="preserve"> </w:t>
      </w:r>
    </w:p>
    <w:p w14:paraId="15C1CF98" w14:textId="50957934" w:rsidR="00D73BFC" w:rsidRPr="00B32D25" w:rsidRDefault="006E27C4"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9" w:name="_Ref229570533"/>
      <w:r w:rsidRPr="006E27C4">
        <w:rPr>
          <w:rFonts w:ascii="Arial" w:eastAsia="Times New Roman" w:hAnsi="Arial" w:cs="Arial"/>
          <w:color w:val="0F1115"/>
          <w:kern w:val="0"/>
          <w:sz w:val="20"/>
          <w:szCs w:val="20"/>
          <w:lang w:eastAsia="en-GB"/>
          <w14:ligatures w14:val="none"/>
        </w:rPr>
        <w:t xml:space="preserve">Januzzi JL, van Kimmenade R, Lainchbury J, Bayes-Genis A, Ordonez-Llanos J, Santalo-Bel M, Pinto YM, Richards M. NT-proBNP testing for diagnosis and short-term prognosis in acute destabilized heart failure: an international pooled analysis of 1256 patients: the International Collaborative of NT-proBNP Study. European </w:t>
      </w:r>
      <w:r w:rsidR="00D36E85">
        <w:rPr>
          <w:rFonts w:ascii="Arial" w:eastAsia="Times New Roman" w:hAnsi="Arial" w:cs="Arial"/>
          <w:color w:val="0F1115"/>
          <w:kern w:val="0"/>
          <w:sz w:val="20"/>
          <w:szCs w:val="20"/>
          <w:lang w:eastAsia="en-GB"/>
          <w14:ligatures w14:val="none"/>
        </w:rPr>
        <w:t>Heart Journal</w:t>
      </w:r>
      <w:r w:rsidRPr="006E27C4">
        <w:rPr>
          <w:rFonts w:ascii="Arial" w:eastAsia="Times New Roman" w:hAnsi="Arial" w:cs="Arial"/>
          <w:color w:val="0F1115"/>
          <w:kern w:val="0"/>
          <w:sz w:val="20"/>
          <w:szCs w:val="20"/>
          <w:lang w:eastAsia="en-GB"/>
          <w14:ligatures w14:val="none"/>
        </w:rPr>
        <w:t>. 2006 Feb 1;27(3):330-7.</w:t>
      </w:r>
      <w:r w:rsidR="00D36E85">
        <w:rPr>
          <w:rFonts w:ascii="Arial" w:eastAsia="Times New Roman" w:hAnsi="Arial" w:cs="Arial"/>
          <w:color w:val="0F1115"/>
          <w:kern w:val="0"/>
          <w:sz w:val="20"/>
          <w:szCs w:val="20"/>
          <w:lang w:eastAsia="en-GB"/>
          <w14:ligatures w14:val="none"/>
        </w:rPr>
        <w:t xml:space="preserve"> </w:t>
      </w:r>
      <w:hyperlink r:id="rId36" w:history="1">
        <w:r w:rsidR="00D36E85" w:rsidRPr="00D36E85">
          <w:rPr>
            <w:rStyle w:val="Hyperlink"/>
            <w:rFonts w:ascii="Arial" w:eastAsia="Times New Roman" w:hAnsi="Arial" w:cs="Arial"/>
            <w:color w:val="0000FF"/>
            <w:kern w:val="0"/>
            <w:sz w:val="20"/>
            <w:szCs w:val="20"/>
            <w:lang w:eastAsia="en-GB"/>
            <w14:ligatures w14:val="none"/>
          </w:rPr>
          <w:t>https://doi.org/10.1093/eurheartj/ehi631</w:t>
        </w:r>
      </w:hyperlink>
      <w:bookmarkEnd w:id="29"/>
      <w:r w:rsidR="00D36E85">
        <w:rPr>
          <w:rFonts w:ascii="Arial" w:eastAsia="Times New Roman" w:hAnsi="Arial" w:cs="Arial"/>
          <w:color w:val="0F1115"/>
          <w:kern w:val="0"/>
          <w:sz w:val="20"/>
          <w:szCs w:val="20"/>
          <w:lang w:eastAsia="en-GB"/>
          <w14:ligatures w14:val="none"/>
        </w:rPr>
        <w:t xml:space="preserve"> </w:t>
      </w:r>
    </w:p>
    <w:p w14:paraId="4745AAD9" w14:textId="59F18C94" w:rsidR="00D73BFC" w:rsidRPr="00B32D25" w:rsidRDefault="006E27C4" w:rsidP="000E371F">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30" w:name="_Ref229570542"/>
      <w:r w:rsidRPr="006E27C4">
        <w:rPr>
          <w:rFonts w:ascii="Arial" w:eastAsia="Times New Roman" w:hAnsi="Arial" w:cs="Arial"/>
          <w:color w:val="0F1115"/>
          <w:kern w:val="0"/>
          <w:sz w:val="20"/>
          <w:szCs w:val="20"/>
          <w:lang w:eastAsia="en-GB"/>
          <w14:ligatures w14:val="none"/>
        </w:rPr>
        <w:t>Ianos RD, Iancu M, Pop C, Lucaciu RL, Hangan AC, Rahaian R, Cozma A, Negrean V, Mercea D, Procopciuc LM. Predictive value of NT-proBNP, FGF21, galectin-3</w:t>
      </w:r>
      <w:r w:rsidR="00192CA8">
        <w:rPr>
          <w:rFonts w:ascii="Arial" w:eastAsia="Times New Roman" w:hAnsi="Arial" w:cs="Arial"/>
          <w:color w:val="0F1115"/>
          <w:kern w:val="0"/>
          <w:sz w:val="20"/>
          <w:szCs w:val="20"/>
          <w:lang w:eastAsia="en-GB"/>
          <w14:ligatures w14:val="none"/>
        </w:rPr>
        <w:t>,</w:t>
      </w:r>
      <w:r w:rsidRPr="006E27C4">
        <w:rPr>
          <w:rFonts w:ascii="Arial" w:eastAsia="Times New Roman" w:hAnsi="Arial" w:cs="Arial"/>
          <w:color w:val="0F1115"/>
          <w:kern w:val="0"/>
          <w:sz w:val="20"/>
          <w:szCs w:val="20"/>
          <w:lang w:eastAsia="en-GB"/>
          <w14:ligatures w14:val="none"/>
        </w:rPr>
        <w:t xml:space="preserve"> and copeptin in advanced heart failure in patients with preserved and mildly reduced ejection fraction and type 2 diabetes mellitus. Medicina. 2024 Nov 8;60(11):1841.</w:t>
      </w:r>
      <w:r w:rsidR="00D36E85">
        <w:rPr>
          <w:rFonts w:ascii="Arial" w:eastAsia="Times New Roman" w:hAnsi="Arial" w:cs="Arial"/>
          <w:color w:val="0F1115"/>
          <w:kern w:val="0"/>
          <w:sz w:val="20"/>
          <w:szCs w:val="20"/>
          <w:lang w:eastAsia="en-GB"/>
          <w14:ligatures w14:val="none"/>
        </w:rPr>
        <w:t xml:space="preserve"> </w:t>
      </w:r>
      <w:hyperlink r:id="rId37" w:history="1">
        <w:r w:rsidR="00D36E85" w:rsidRPr="00D36E85">
          <w:rPr>
            <w:rStyle w:val="Hyperlink"/>
            <w:rFonts w:ascii="Arial" w:eastAsia="Times New Roman" w:hAnsi="Arial" w:cs="Arial"/>
            <w:color w:val="0000FF"/>
            <w:kern w:val="0"/>
            <w:sz w:val="20"/>
            <w:szCs w:val="20"/>
            <w:lang w:eastAsia="en-GB"/>
            <w14:ligatures w14:val="none"/>
          </w:rPr>
          <w:t>https://doi.org/10.3390/medicina60111841</w:t>
        </w:r>
      </w:hyperlink>
      <w:bookmarkEnd w:id="30"/>
      <w:r w:rsidR="00D36E85">
        <w:rPr>
          <w:rFonts w:ascii="Arial" w:eastAsia="Times New Roman" w:hAnsi="Arial" w:cs="Arial"/>
          <w:color w:val="0F1115"/>
          <w:kern w:val="0"/>
          <w:sz w:val="20"/>
          <w:szCs w:val="20"/>
          <w:lang w:eastAsia="en-GB"/>
          <w14:ligatures w14:val="none"/>
        </w:rPr>
        <w:t xml:space="preserve"> </w:t>
      </w:r>
    </w:p>
    <w:p w14:paraId="56B81C40" w14:textId="06335170" w:rsidR="00D73BFC" w:rsidRPr="00B32D25" w:rsidRDefault="006E27C4"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31" w:name="_Ref229581527"/>
      <w:r w:rsidRPr="006E27C4">
        <w:rPr>
          <w:rFonts w:ascii="Arial" w:eastAsia="Times New Roman" w:hAnsi="Arial" w:cs="Arial"/>
          <w:color w:val="0F1115"/>
          <w:kern w:val="0"/>
          <w:sz w:val="20"/>
          <w:szCs w:val="20"/>
          <w:lang w:eastAsia="en-GB"/>
          <w14:ligatures w14:val="none"/>
        </w:rPr>
        <w:t xml:space="preserve">Maisel A, Xue Y, Shah K, Mueller C, Nowak R, Peacock WF, Ponikowski P, Mockel M, Hogan C, Wu AH, Richards M. Increased 90-day mortality in patients with acute heart failure with elevated copeptin: secondary results from the Biomarkers in Acute Heart Failure (BACH) study. Circulation: </w:t>
      </w:r>
      <w:r w:rsidR="00B56A0D">
        <w:rPr>
          <w:rFonts w:ascii="Arial" w:eastAsia="Times New Roman" w:hAnsi="Arial" w:cs="Arial"/>
          <w:color w:val="0F1115"/>
          <w:kern w:val="0"/>
          <w:sz w:val="20"/>
          <w:szCs w:val="20"/>
          <w:lang w:eastAsia="en-GB"/>
          <w14:ligatures w14:val="none"/>
        </w:rPr>
        <w:t>H</w:t>
      </w:r>
      <w:r w:rsidRPr="006E27C4">
        <w:rPr>
          <w:rFonts w:ascii="Arial" w:eastAsia="Times New Roman" w:hAnsi="Arial" w:cs="Arial"/>
          <w:color w:val="0F1115"/>
          <w:kern w:val="0"/>
          <w:sz w:val="20"/>
          <w:szCs w:val="20"/>
          <w:lang w:eastAsia="en-GB"/>
          <w14:ligatures w14:val="none"/>
        </w:rPr>
        <w:t xml:space="preserve">eart </w:t>
      </w:r>
      <w:r w:rsidR="00B56A0D">
        <w:rPr>
          <w:rFonts w:ascii="Arial" w:eastAsia="Times New Roman" w:hAnsi="Arial" w:cs="Arial"/>
          <w:color w:val="0F1115"/>
          <w:kern w:val="0"/>
          <w:sz w:val="20"/>
          <w:szCs w:val="20"/>
          <w:lang w:eastAsia="en-GB"/>
          <w14:ligatures w14:val="none"/>
        </w:rPr>
        <w:t>F</w:t>
      </w:r>
      <w:r w:rsidRPr="006E27C4">
        <w:rPr>
          <w:rFonts w:ascii="Arial" w:eastAsia="Times New Roman" w:hAnsi="Arial" w:cs="Arial"/>
          <w:color w:val="0F1115"/>
          <w:kern w:val="0"/>
          <w:sz w:val="20"/>
          <w:szCs w:val="20"/>
          <w:lang w:eastAsia="en-GB"/>
          <w14:ligatures w14:val="none"/>
        </w:rPr>
        <w:t>ailure. 2011 Sep;4(5):613-20.</w:t>
      </w:r>
      <w:r w:rsidR="00D36E85">
        <w:rPr>
          <w:rFonts w:ascii="Arial" w:eastAsia="Times New Roman" w:hAnsi="Arial" w:cs="Arial"/>
          <w:color w:val="0F1115"/>
          <w:kern w:val="0"/>
          <w:sz w:val="20"/>
          <w:szCs w:val="20"/>
          <w:lang w:eastAsia="en-GB"/>
          <w14:ligatures w14:val="none"/>
        </w:rPr>
        <w:t xml:space="preserve"> </w:t>
      </w:r>
      <w:hyperlink r:id="rId38" w:history="1">
        <w:r w:rsidR="00D36E85" w:rsidRPr="00D36E85">
          <w:rPr>
            <w:rStyle w:val="Hyperlink"/>
            <w:rFonts w:ascii="Arial" w:eastAsia="Times New Roman" w:hAnsi="Arial" w:cs="Arial"/>
            <w:color w:val="0000FF"/>
            <w:kern w:val="0"/>
            <w:sz w:val="20"/>
            <w:szCs w:val="20"/>
            <w:lang w:eastAsia="en-GB"/>
            <w14:ligatures w14:val="none"/>
          </w:rPr>
          <w:t>https://doi.org/10.1161/CIRCHEARTFAILURE.110.960096</w:t>
        </w:r>
      </w:hyperlink>
      <w:bookmarkEnd w:id="31"/>
      <w:r w:rsidR="00D36E85">
        <w:rPr>
          <w:rFonts w:ascii="Arial" w:eastAsia="Times New Roman" w:hAnsi="Arial" w:cs="Arial"/>
          <w:color w:val="0F1115"/>
          <w:kern w:val="0"/>
          <w:sz w:val="20"/>
          <w:szCs w:val="20"/>
          <w:lang w:eastAsia="en-GB"/>
          <w14:ligatures w14:val="none"/>
        </w:rPr>
        <w:t xml:space="preserve"> </w:t>
      </w:r>
    </w:p>
    <w:p w14:paraId="70209FC9" w14:textId="7FC1AF11" w:rsidR="00D73BFC" w:rsidRPr="00B32D25" w:rsidRDefault="000B1216" w:rsidP="00B32D25">
      <w:pPr>
        <w:pStyle w:val="ListParagraph"/>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32" w:name="_Ref229581534"/>
      <w:r w:rsidRPr="000B1216">
        <w:rPr>
          <w:rFonts w:ascii="Arial" w:eastAsia="Times New Roman" w:hAnsi="Arial" w:cs="Arial"/>
          <w:color w:val="0F1115"/>
          <w:kern w:val="0"/>
          <w:sz w:val="20"/>
          <w:szCs w:val="20"/>
          <w:lang w:eastAsia="en-GB"/>
          <w14:ligatures w14:val="none"/>
        </w:rPr>
        <w:t>Davidson LT, Chisalita SI, Gauffin E, Engvall J, Östgren CJ, Nyström FH. Plasma copeptin independently predicts cardiovascular events but not all-cause mortality in patients with type 2 diabetes: a prospective observational study. Nutrition, Metabolism and Cardiovascular Diseases. 2025 May 19:104158.</w:t>
      </w:r>
      <w:r w:rsidR="00D36E85">
        <w:rPr>
          <w:rFonts w:ascii="Arial" w:eastAsia="Times New Roman" w:hAnsi="Arial" w:cs="Arial"/>
          <w:color w:val="0F1115"/>
          <w:kern w:val="0"/>
          <w:sz w:val="20"/>
          <w:szCs w:val="20"/>
          <w:lang w:eastAsia="en-GB"/>
          <w14:ligatures w14:val="none"/>
        </w:rPr>
        <w:t xml:space="preserve"> </w:t>
      </w:r>
      <w:hyperlink r:id="rId39" w:history="1">
        <w:r w:rsidR="00D36E85" w:rsidRPr="00D36E85">
          <w:rPr>
            <w:rStyle w:val="Hyperlink"/>
            <w:rFonts w:ascii="Arial" w:eastAsia="Times New Roman" w:hAnsi="Arial" w:cs="Arial"/>
            <w:color w:val="0000FF"/>
            <w:kern w:val="0"/>
            <w:sz w:val="20"/>
            <w:szCs w:val="20"/>
            <w:lang w:eastAsia="en-GB"/>
            <w14:ligatures w14:val="none"/>
          </w:rPr>
          <w:t>https://doi.org/10.1016/j.numecd.2025.104158</w:t>
        </w:r>
      </w:hyperlink>
      <w:bookmarkEnd w:id="32"/>
      <w:r w:rsidR="00D36E85">
        <w:rPr>
          <w:rFonts w:ascii="Arial" w:eastAsia="Times New Roman" w:hAnsi="Arial" w:cs="Arial"/>
          <w:color w:val="0F1115"/>
          <w:kern w:val="0"/>
          <w:sz w:val="20"/>
          <w:szCs w:val="20"/>
          <w:lang w:eastAsia="en-GB"/>
          <w14:ligatures w14:val="none"/>
        </w:rPr>
        <w:t xml:space="preserve"> </w:t>
      </w:r>
    </w:p>
    <w:p w14:paraId="49234F26" w14:textId="3D948448" w:rsidR="00076FD8" w:rsidRPr="00EC7F67" w:rsidRDefault="000B1216" w:rsidP="0093527D">
      <w:pPr>
        <w:pStyle w:val="ListParagraph"/>
        <w:numPr>
          <w:ilvl w:val="0"/>
          <w:numId w:val="2"/>
        </w:numPr>
        <w:shd w:val="clear" w:color="auto" w:fill="FFFFFF"/>
        <w:spacing w:after="0" w:line="240" w:lineRule="auto"/>
        <w:ind w:left="288" w:hanging="288"/>
        <w:jc w:val="both"/>
        <w:rPr>
          <w:rFonts w:ascii="Arial" w:hAnsi="Arial" w:cs="Arial"/>
          <w:sz w:val="20"/>
          <w:szCs w:val="20"/>
        </w:rPr>
      </w:pPr>
      <w:bookmarkStart w:id="33" w:name="_Ref229570557"/>
      <w:r w:rsidRPr="000B1216">
        <w:rPr>
          <w:rFonts w:ascii="Arial" w:eastAsia="Times New Roman" w:hAnsi="Arial" w:cs="Arial"/>
          <w:color w:val="0F1115"/>
          <w:kern w:val="0"/>
          <w:sz w:val="20"/>
          <w:szCs w:val="20"/>
          <w:lang w:eastAsia="en-GB"/>
          <w14:ligatures w14:val="none"/>
        </w:rPr>
        <w:t>Allach Y, Barry-Loncq de Jong M, Brugts JJ. Toward Personalized Heart Failure Management: Integrating Biomarkers and Multimodal Monitoring Strategies. Current Heart Failure Reports. 2026 Mar 4:1-3.</w:t>
      </w:r>
      <w:r w:rsidR="00D36E85">
        <w:rPr>
          <w:rFonts w:ascii="Arial" w:eastAsia="Times New Roman" w:hAnsi="Arial" w:cs="Arial"/>
          <w:color w:val="0F1115"/>
          <w:kern w:val="0"/>
          <w:sz w:val="20"/>
          <w:szCs w:val="20"/>
          <w:lang w:eastAsia="en-GB"/>
          <w14:ligatures w14:val="none"/>
        </w:rPr>
        <w:t xml:space="preserve"> </w:t>
      </w:r>
      <w:hyperlink r:id="rId40" w:history="1">
        <w:r w:rsidR="00D36E85" w:rsidRPr="00D36E85">
          <w:rPr>
            <w:rStyle w:val="Hyperlink"/>
            <w:rFonts w:ascii="Arial" w:eastAsia="Times New Roman" w:hAnsi="Arial" w:cs="Arial"/>
            <w:color w:val="0000FF"/>
            <w:kern w:val="0"/>
            <w:sz w:val="20"/>
            <w:szCs w:val="20"/>
            <w:lang w:eastAsia="en-GB"/>
            <w14:ligatures w14:val="none"/>
          </w:rPr>
          <w:t>https://doi.org/10.1007/s11897-026-00742-3</w:t>
        </w:r>
      </w:hyperlink>
      <w:bookmarkEnd w:id="33"/>
      <w:r w:rsidR="00D36E85">
        <w:rPr>
          <w:rFonts w:ascii="Arial" w:eastAsia="Times New Roman" w:hAnsi="Arial" w:cs="Arial"/>
          <w:color w:val="0F1115"/>
          <w:kern w:val="0"/>
          <w:sz w:val="20"/>
          <w:szCs w:val="20"/>
          <w:lang w:eastAsia="en-GB"/>
          <w14:ligatures w14:val="none"/>
        </w:rPr>
        <w:t xml:space="preserve"> </w:t>
      </w:r>
    </w:p>
    <w:sectPr w:rsidR="00076FD8" w:rsidRPr="00EC7F67" w:rsidSect="001659D7">
      <w:type w:val="continuous"/>
      <w:pgSz w:w="11906" w:h="16838"/>
      <w:pgMar w:top="1440" w:right="1440" w:bottom="1440" w:left="1440" w:header="720" w:footer="720"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98093" w14:textId="77777777" w:rsidR="00680E0B" w:rsidRDefault="00680E0B" w:rsidP="00EB2A71">
      <w:pPr>
        <w:spacing w:after="0" w:line="240" w:lineRule="auto"/>
      </w:pPr>
      <w:r>
        <w:separator/>
      </w:r>
    </w:p>
  </w:endnote>
  <w:endnote w:type="continuationSeparator" w:id="0">
    <w:p w14:paraId="6FD013B4" w14:textId="77777777" w:rsidR="00680E0B" w:rsidRDefault="00680E0B" w:rsidP="00EB2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0000FF"/>
      </w:rPr>
      <w:id w:val="470333070"/>
      <w:docPartObj>
        <w:docPartGallery w:val="Page Numbers (Bottom of Page)"/>
        <w:docPartUnique/>
      </w:docPartObj>
    </w:sdtPr>
    <w:sdtEndPr>
      <w:rPr>
        <w:noProof/>
      </w:rPr>
    </w:sdtEndPr>
    <w:sdtContent>
      <w:p w14:paraId="04C24258" w14:textId="3DC8C6A3" w:rsidR="000E371F" w:rsidRPr="000E371F" w:rsidRDefault="000E371F">
        <w:pPr>
          <w:pStyle w:val="Footer"/>
          <w:jc w:val="right"/>
          <w:rPr>
            <w:rFonts w:ascii="Arial" w:hAnsi="Arial" w:cs="Arial"/>
            <w:color w:val="0000FF"/>
          </w:rPr>
        </w:pPr>
        <w:r w:rsidRPr="000E371F">
          <w:rPr>
            <w:rFonts w:ascii="Arial" w:hAnsi="Arial" w:cs="Arial"/>
            <w:color w:val="0000FF"/>
          </w:rPr>
          <w:fldChar w:fldCharType="begin"/>
        </w:r>
        <w:r w:rsidRPr="000E371F">
          <w:rPr>
            <w:rFonts w:ascii="Arial" w:hAnsi="Arial" w:cs="Arial"/>
            <w:color w:val="0000FF"/>
          </w:rPr>
          <w:instrText xml:space="preserve"> PAGE   \* MERGEFORMAT </w:instrText>
        </w:r>
        <w:r w:rsidRPr="000E371F">
          <w:rPr>
            <w:rFonts w:ascii="Arial" w:hAnsi="Arial" w:cs="Arial"/>
            <w:color w:val="0000FF"/>
          </w:rPr>
          <w:fldChar w:fldCharType="separate"/>
        </w:r>
        <w:r w:rsidRPr="000E371F">
          <w:rPr>
            <w:rFonts w:ascii="Arial" w:hAnsi="Arial" w:cs="Arial"/>
            <w:noProof/>
            <w:color w:val="0000FF"/>
          </w:rPr>
          <w:t>2</w:t>
        </w:r>
        <w:r w:rsidRPr="000E371F">
          <w:rPr>
            <w:rFonts w:ascii="Arial" w:hAnsi="Arial" w:cs="Arial"/>
            <w:noProof/>
            <w:color w:val="0000FF"/>
          </w:rPr>
          <w:fldChar w:fldCharType="end"/>
        </w:r>
      </w:p>
    </w:sdtContent>
  </w:sdt>
  <w:p w14:paraId="4B4E3FE6" w14:textId="77777777" w:rsidR="000E371F" w:rsidRDefault="000E37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0BB28" w14:textId="77777777" w:rsidR="00EB2A71" w:rsidRDefault="00EB2A71" w:rsidP="00EB2A71">
    <w:pPr>
      <w:autoSpaceDE w:val="0"/>
      <w:autoSpaceDN w:val="0"/>
      <w:adjustRightInd w:val="0"/>
      <w:spacing w:after="0" w:line="240" w:lineRule="auto"/>
      <w:rPr>
        <w:rFonts w:ascii="Arial" w:eastAsia="SimSun" w:hAnsi="Arial" w:cs="Arial"/>
        <w:bCs/>
        <w:color w:val="000000"/>
        <w:sz w:val="16"/>
        <w:szCs w:val="16"/>
      </w:rPr>
    </w:pPr>
  </w:p>
  <w:p w14:paraId="0A4F7F95" w14:textId="0F2E4D86" w:rsidR="00EB2A71" w:rsidRDefault="00EB2A71" w:rsidP="00EB2A71">
    <w:pPr>
      <w:autoSpaceDE w:val="0"/>
      <w:autoSpaceDN w:val="0"/>
      <w:adjustRightInd w:val="0"/>
      <w:spacing w:after="0" w:line="240" w:lineRule="auto"/>
      <w:rPr>
        <w:rFonts w:ascii="Arial" w:eastAsia="SimSun" w:hAnsi="Arial" w:cs="Arial"/>
        <w:bCs/>
        <w:color w:val="000000"/>
        <w:sz w:val="16"/>
        <w:szCs w:val="16"/>
      </w:rPr>
    </w:pPr>
    <w:r w:rsidRPr="00BC04BD">
      <w:rPr>
        <w:rFonts w:ascii="Arial" w:eastAsia="SimSun" w:hAnsi="Arial" w:cs="Arial"/>
        <w:bCs/>
        <w:color w:val="000000"/>
        <w:sz w:val="16"/>
        <w:szCs w:val="16"/>
      </w:rPr>
      <w:t>Correspondence:</w:t>
    </w:r>
  </w:p>
  <w:p w14:paraId="3EDBCEB9" w14:textId="76DDD1FF" w:rsidR="00BC4ED9" w:rsidRPr="00BC04BD" w:rsidRDefault="00BC4ED9" w:rsidP="00EB2A71">
    <w:pPr>
      <w:autoSpaceDE w:val="0"/>
      <w:autoSpaceDN w:val="0"/>
      <w:adjustRightInd w:val="0"/>
      <w:spacing w:after="0" w:line="240" w:lineRule="auto"/>
      <w:rPr>
        <w:rFonts w:ascii="Arial" w:eastAsia="SimSun" w:hAnsi="Arial" w:cs="Arial"/>
        <w:bCs/>
        <w:color w:val="000000"/>
        <w:sz w:val="16"/>
        <w:szCs w:val="16"/>
      </w:rPr>
    </w:pPr>
    <w:r>
      <w:rPr>
        <w:rFonts w:ascii="Arial" w:eastAsia="SimSun" w:hAnsi="Arial" w:cs="Arial"/>
        <w:bCs/>
        <w:color w:val="000000"/>
        <w:sz w:val="16"/>
        <w:szCs w:val="16"/>
      </w:rPr>
      <w:t>Zidan Moutaz A</w:t>
    </w:r>
  </w:p>
  <w:p w14:paraId="326061A4" w14:textId="75514B6B" w:rsidR="00EB2A71" w:rsidRPr="00E2619E" w:rsidRDefault="00EB2A71" w:rsidP="00EB2A71">
    <w:pPr>
      <w:tabs>
        <w:tab w:val="center" w:pos="4680"/>
        <w:tab w:val="right" w:pos="9360"/>
      </w:tabs>
      <w:autoSpaceDE w:val="0"/>
      <w:autoSpaceDN w:val="0"/>
      <w:adjustRightInd w:val="0"/>
      <w:spacing w:after="0" w:line="240" w:lineRule="auto"/>
      <w:rPr>
        <w:rFonts w:ascii="Arial" w:eastAsia="Times New Roman" w:hAnsi="Arial" w:cs="Arial"/>
        <w:bCs/>
        <w:iCs/>
        <w:color w:val="000000"/>
        <w:sz w:val="16"/>
        <w:szCs w:val="16"/>
        <w:shd w:val="clear" w:color="auto" w:fill="FFFFFF"/>
      </w:rPr>
    </w:pPr>
    <w:r w:rsidRPr="00E2619E">
      <w:rPr>
        <w:rFonts w:ascii="Arial" w:eastAsia="Times New Roman" w:hAnsi="Arial" w:cs="Arial"/>
        <w:bCs/>
        <w:iCs/>
        <w:color w:val="000000"/>
        <w:sz w:val="16"/>
        <w:szCs w:val="16"/>
        <w:shd w:val="clear" w:color="auto" w:fill="FFFFFF"/>
      </w:rPr>
      <w:t>Departm</w:t>
    </w:r>
    <w:r>
      <w:rPr>
        <w:rFonts w:ascii="Arial" w:eastAsia="Times New Roman" w:hAnsi="Arial" w:cs="Arial"/>
        <w:bCs/>
        <w:iCs/>
        <w:color w:val="000000"/>
        <w:sz w:val="16"/>
        <w:szCs w:val="16"/>
        <w:shd w:val="clear" w:color="auto" w:fill="FFFFFF"/>
      </w:rPr>
      <w:t xml:space="preserve">ent of </w:t>
    </w:r>
    <w:r w:rsidR="00BC4ED9">
      <w:rPr>
        <w:rFonts w:ascii="Arial" w:eastAsia="Times New Roman" w:hAnsi="Arial" w:cs="Arial"/>
        <w:bCs/>
        <w:iCs/>
        <w:color w:val="000000"/>
        <w:sz w:val="16"/>
        <w:szCs w:val="16"/>
        <w:shd w:val="clear" w:color="auto" w:fill="FFFFFF"/>
      </w:rPr>
      <w:t>Biochemistry</w:t>
    </w:r>
    <w:r>
      <w:rPr>
        <w:rFonts w:ascii="Arial" w:eastAsia="Times New Roman" w:hAnsi="Arial" w:cs="Arial"/>
        <w:bCs/>
        <w:iCs/>
        <w:color w:val="000000"/>
        <w:sz w:val="16"/>
        <w:szCs w:val="16"/>
        <w:shd w:val="clear" w:color="auto" w:fill="FFFFFF"/>
      </w:rPr>
      <w:t xml:space="preserve">, </w:t>
    </w:r>
    <w:r w:rsidRPr="00E2619E">
      <w:rPr>
        <w:rFonts w:ascii="Arial" w:eastAsia="Times New Roman" w:hAnsi="Arial" w:cs="Arial"/>
        <w:bCs/>
        <w:iCs/>
        <w:color w:val="000000"/>
        <w:sz w:val="16"/>
        <w:szCs w:val="16"/>
        <w:shd w:val="clear" w:color="auto" w:fill="FFFFFF"/>
      </w:rPr>
      <w:t xml:space="preserve">College of </w:t>
    </w:r>
    <w:r>
      <w:rPr>
        <w:rFonts w:ascii="Arial" w:eastAsia="Times New Roman" w:hAnsi="Arial" w:cs="Arial"/>
        <w:bCs/>
        <w:iCs/>
        <w:color w:val="000000"/>
        <w:sz w:val="16"/>
        <w:szCs w:val="16"/>
        <w:shd w:val="clear" w:color="auto" w:fill="FFFFFF"/>
      </w:rPr>
      <w:t>Medicine</w:t>
    </w:r>
  </w:p>
  <w:p w14:paraId="697ECCC9" w14:textId="408330CF" w:rsidR="00EB4694" w:rsidRDefault="00EB2A71" w:rsidP="00EB2A71">
    <w:pPr>
      <w:tabs>
        <w:tab w:val="center" w:pos="4680"/>
        <w:tab w:val="right" w:pos="9360"/>
      </w:tabs>
      <w:autoSpaceDE w:val="0"/>
      <w:autoSpaceDN w:val="0"/>
      <w:adjustRightInd w:val="0"/>
      <w:spacing w:after="0" w:line="240" w:lineRule="auto"/>
      <w:rPr>
        <w:rFonts w:ascii="Arial" w:eastAsia="Times New Roman" w:hAnsi="Arial" w:cs="Arial"/>
        <w:bCs/>
        <w:iCs/>
        <w:color w:val="000000"/>
        <w:sz w:val="16"/>
        <w:szCs w:val="16"/>
        <w:shd w:val="clear" w:color="auto" w:fill="FFFFFF"/>
      </w:rPr>
    </w:pPr>
    <w:r w:rsidRPr="00E2619E">
      <w:rPr>
        <w:rFonts w:ascii="Arial" w:eastAsia="Times New Roman" w:hAnsi="Arial" w:cs="Arial"/>
        <w:bCs/>
        <w:iCs/>
        <w:color w:val="000000"/>
        <w:sz w:val="16"/>
        <w:szCs w:val="16"/>
        <w:shd w:val="clear" w:color="auto" w:fill="FFFFFF"/>
      </w:rPr>
      <w:t>University of</w:t>
    </w:r>
    <w:r w:rsidR="00BC4ED9">
      <w:rPr>
        <w:rFonts w:ascii="Arial" w:eastAsia="Times New Roman" w:hAnsi="Arial" w:cs="Arial"/>
        <w:bCs/>
        <w:iCs/>
        <w:color w:val="000000"/>
        <w:sz w:val="16"/>
        <w:szCs w:val="16"/>
        <w:shd w:val="clear" w:color="auto" w:fill="FFFFFF"/>
      </w:rPr>
      <w:t xml:space="preserve"> Babylon</w:t>
    </w:r>
    <w:r>
      <w:rPr>
        <w:rFonts w:ascii="Arial" w:eastAsia="Times New Roman" w:hAnsi="Arial" w:cs="Arial"/>
        <w:bCs/>
        <w:iCs/>
        <w:color w:val="000000"/>
        <w:sz w:val="16"/>
        <w:szCs w:val="16"/>
        <w:shd w:val="clear" w:color="auto" w:fill="FFFFFF"/>
      </w:rPr>
      <w:t xml:space="preserve">, </w:t>
    </w:r>
    <w:r w:rsidR="00BC4ED9">
      <w:rPr>
        <w:rFonts w:ascii="Arial" w:eastAsia="Times New Roman" w:hAnsi="Arial" w:cs="Arial"/>
        <w:bCs/>
        <w:iCs/>
        <w:color w:val="000000"/>
        <w:sz w:val="16"/>
        <w:szCs w:val="16"/>
        <w:shd w:val="clear" w:color="auto" w:fill="FFFFFF"/>
      </w:rPr>
      <w:t>Hilla</w:t>
    </w:r>
  </w:p>
  <w:p w14:paraId="163E89CF" w14:textId="508D5F87" w:rsidR="00EB2A71" w:rsidRPr="00E2619E" w:rsidRDefault="00BC4ED9" w:rsidP="00EB2A71">
    <w:pPr>
      <w:tabs>
        <w:tab w:val="center" w:pos="4680"/>
        <w:tab w:val="right" w:pos="9360"/>
      </w:tabs>
      <w:autoSpaceDE w:val="0"/>
      <w:autoSpaceDN w:val="0"/>
      <w:adjustRightInd w:val="0"/>
      <w:spacing w:after="0" w:line="240" w:lineRule="auto"/>
      <w:rPr>
        <w:rFonts w:ascii="Arial" w:eastAsia="Times New Roman" w:hAnsi="Arial" w:cs="Arial"/>
        <w:bCs/>
        <w:iCs/>
        <w:color w:val="000000"/>
        <w:sz w:val="16"/>
        <w:szCs w:val="16"/>
        <w:shd w:val="clear" w:color="auto" w:fill="FFFFFF"/>
      </w:rPr>
    </w:pPr>
    <w:r>
      <w:rPr>
        <w:rFonts w:ascii="Arial" w:eastAsia="Times New Roman" w:hAnsi="Arial" w:cs="Arial"/>
        <w:bCs/>
        <w:iCs/>
        <w:color w:val="000000"/>
        <w:sz w:val="16"/>
        <w:szCs w:val="16"/>
        <w:shd w:val="clear" w:color="auto" w:fill="FFFFFF"/>
      </w:rPr>
      <w:t>Babylon Governorate</w:t>
    </w:r>
    <w:r w:rsidR="00EB4694">
      <w:rPr>
        <w:rFonts w:ascii="Arial" w:eastAsia="Times New Roman" w:hAnsi="Arial" w:cs="Arial"/>
        <w:bCs/>
        <w:iCs/>
        <w:color w:val="000000"/>
        <w:sz w:val="16"/>
        <w:szCs w:val="16"/>
        <w:shd w:val="clear" w:color="auto" w:fill="FFFFFF"/>
      </w:rPr>
      <w:t xml:space="preserve">, </w:t>
    </w:r>
    <w:r w:rsidR="00EB2A71" w:rsidRPr="00E2619E">
      <w:rPr>
        <w:rFonts w:ascii="Arial" w:eastAsia="Times New Roman" w:hAnsi="Arial" w:cs="Arial"/>
        <w:bCs/>
        <w:iCs/>
        <w:color w:val="000000"/>
        <w:sz w:val="16"/>
        <w:szCs w:val="16"/>
        <w:shd w:val="clear" w:color="auto" w:fill="FFFFFF"/>
      </w:rPr>
      <w:t>Iraq</w:t>
    </w:r>
  </w:p>
  <w:p w14:paraId="78399426" w14:textId="10F656DF" w:rsidR="00EB2A71" w:rsidRPr="002A3674" w:rsidRDefault="002A3674" w:rsidP="00EB2A71">
    <w:pPr>
      <w:tabs>
        <w:tab w:val="center" w:pos="4680"/>
        <w:tab w:val="right" w:pos="9360"/>
      </w:tabs>
      <w:autoSpaceDE w:val="0"/>
      <w:autoSpaceDN w:val="0"/>
      <w:adjustRightInd w:val="0"/>
      <w:spacing w:after="0" w:line="240" w:lineRule="auto"/>
      <w:rPr>
        <w:color w:val="0000FF"/>
      </w:rPr>
    </w:pPr>
    <w:hyperlink r:id="rId1" w:history="1">
      <w:r w:rsidRPr="002A3674">
        <w:rPr>
          <w:rStyle w:val="Hyperlink"/>
          <w:rFonts w:ascii="Arial" w:eastAsia="Times New Roman" w:hAnsi="Arial" w:cs="Arial"/>
          <w:bCs/>
          <w:iCs/>
          <w:color w:val="0000FF"/>
          <w:sz w:val="16"/>
          <w:szCs w:val="16"/>
          <w:shd w:val="clear" w:color="auto" w:fill="FFFFFF"/>
        </w:rPr>
        <w:t>motazmasoody718@gmail.com</w:t>
      </w:r>
    </w:hyperlink>
  </w:p>
  <w:p w14:paraId="488D71C2" w14:textId="77777777" w:rsidR="00EB4694" w:rsidRPr="001A4CED" w:rsidRDefault="00EB4694" w:rsidP="00EB2A71">
    <w:pPr>
      <w:tabs>
        <w:tab w:val="center" w:pos="4680"/>
        <w:tab w:val="right" w:pos="9360"/>
      </w:tabs>
      <w:autoSpaceDE w:val="0"/>
      <w:autoSpaceDN w:val="0"/>
      <w:adjustRightInd w:val="0"/>
      <w:spacing w:after="0" w:line="240" w:lineRule="auto"/>
      <w:rPr>
        <w:rFonts w:ascii="Arial" w:eastAsia="Times New Roman" w:hAnsi="Arial" w:cs="Arial"/>
        <w:color w:val="0000FF"/>
        <w:sz w:val="12"/>
        <w:szCs w:val="12"/>
        <w:lang w:val="pt-BR"/>
      </w:rPr>
    </w:pPr>
  </w:p>
  <w:p w14:paraId="53F580B9" w14:textId="77777777" w:rsidR="00EB2A71" w:rsidRPr="00BC04BD" w:rsidRDefault="00EB2A71" w:rsidP="00EB2A71">
    <w:pPr>
      <w:tabs>
        <w:tab w:val="center" w:pos="4680"/>
        <w:tab w:val="right" w:pos="9360"/>
      </w:tabs>
      <w:autoSpaceDE w:val="0"/>
      <w:autoSpaceDN w:val="0"/>
      <w:adjustRightInd w:val="0"/>
      <w:spacing w:after="0" w:line="240" w:lineRule="auto"/>
      <w:rPr>
        <w:rFonts w:ascii="Arial" w:eastAsia="Times New Roman" w:hAnsi="Arial" w:cs="Arial"/>
        <w:color w:val="000000"/>
        <w:sz w:val="12"/>
        <w:szCs w:val="12"/>
      </w:rPr>
    </w:pPr>
    <w:r w:rsidRPr="00BC04BD">
      <w:rPr>
        <w:rFonts w:ascii="Arial" w:eastAsia="Times New Roman" w:hAnsi="Arial" w:cs="Arial"/>
        <w:color w:val="000000"/>
        <w:sz w:val="12"/>
        <w:szCs w:val="12"/>
      </w:rPr>
      <w:t>© BUMJ. 2026 Open Access This article is distributed under the terms of the Creative Commons Attribution 4.0 International License</w:t>
    </w:r>
  </w:p>
  <w:p w14:paraId="25A1A025" w14:textId="635834B3" w:rsidR="00EB2A71" w:rsidRPr="00EB4694" w:rsidRDefault="00EB2A71" w:rsidP="00EB4694">
    <w:pPr>
      <w:tabs>
        <w:tab w:val="center" w:pos="4680"/>
        <w:tab w:val="right" w:pos="9360"/>
      </w:tabs>
      <w:autoSpaceDE w:val="0"/>
      <w:autoSpaceDN w:val="0"/>
      <w:adjustRightInd w:val="0"/>
      <w:spacing w:after="0" w:line="240" w:lineRule="auto"/>
      <w:rPr>
        <w:rFonts w:ascii="Arial" w:eastAsia="Times New Roman" w:hAnsi="Arial" w:cs="Arial"/>
        <w:color w:val="000000"/>
        <w:sz w:val="12"/>
        <w:szCs w:val="12"/>
      </w:rPr>
    </w:pPr>
    <w:r w:rsidRPr="00BC04BD">
      <w:rPr>
        <w:rFonts w:ascii="Arial" w:eastAsia="Times New Roman" w:hAnsi="Arial" w:cs="Arial"/>
        <w:color w:val="000000"/>
        <w:sz w:val="12"/>
        <w:szCs w:val="12"/>
      </w:rPr>
      <w:t>(</w:t>
    </w:r>
    <w:hyperlink r:id="rId2" w:history="1">
      <w:r w:rsidRPr="00BC04BD">
        <w:rPr>
          <w:rFonts w:ascii="Arial" w:eastAsia="Times New Roman" w:hAnsi="Arial" w:cs="Arial"/>
          <w:color w:val="0000FF"/>
          <w:sz w:val="12"/>
          <w:szCs w:val="12"/>
          <w:u w:val="single"/>
        </w:rPr>
        <w:t>http://creativecommons.org/licenses/by/4.0/</w:t>
      </w:r>
    </w:hyperlink>
    <w:r w:rsidRPr="00BC04BD">
      <w:rPr>
        <w:rFonts w:ascii="Arial" w:eastAsia="Times New Roman" w:hAnsi="Arial" w:cs="Arial"/>
        <w:color w:val="000000"/>
        <w:sz w:val="12"/>
        <w:szCs w:val="12"/>
      </w:rPr>
      <w:t>), which permits unrestricted use, distribution, and reproduction in any medium, provided you give appropriate credit to the original author(s) and the source, provide a link to the Creative Commons license, and indicate if changes were made. The Creative Commons Public Domain Dedication waiver (</w:t>
    </w:r>
    <w:hyperlink r:id="rId3" w:history="1">
      <w:r w:rsidRPr="00BC04BD">
        <w:rPr>
          <w:rFonts w:ascii="Arial" w:eastAsia="Times New Roman" w:hAnsi="Arial" w:cs="Arial"/>
          <w:color w:val="0000FF"/>
          <w:sz w:val="12"/>
          <w:szCs w:val="12"/>
          <w:u w:val="single"/>
        </w:rPr>
        <w:t>http://creativecommons.org/publicdomain/zero/1.0/</w:t>
      </w:r>
    </w:hyperlink>
    <w:r w:rsidRPr="00BC04BD">
      <w:rPr>
        <w:rFonts w:ascii="Arial" w:eastAsia="Times New Roman" w:hAnsi="Arial" w:cs="Arial"/>
        <w:color w:val="000000"/>
        <w:sz w:val="12"/>
        <w:szCs w:val="12"/>
      </w:rPr>
      <w:t>) applies to the data made available in this article, unless otherwise stated.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008EF" w14:textId="77777777" w:rsidR="00680E0B" w:rsidRDefault="00680E0B" w:rsidP="00EB2A71">
      <w:pPr>
        <w:spacing w:after="0" w:line="240" w:lineRule="auto"/>
      </w:pPr>
      <w:r>
        <w:separator/>
      </w:r>
    </w:p>
  </w:footnote>
  <w:footnote w:type="continuationSeparator" w:id="0">
    <w:p w14:paraId="7218B0A4" w14:textId="77777777" w:rsidR="00680E0B" w:rsidRDefault="00680E0B" w:rsidP="00EB2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9DCCE" w14:textId="21A388E8" w:rsidR="00EB2A71" w:rsidRPr="00E466DA" w:rsidRDefault="00EB2A71">
    <w:pPr>
      <w:pStyle w:val="Header"/>
      <w:rPr>
        <w:color w:val="0000FF"/>
      </w:rPr>
    </w:pPr>
    <w:r w:rsidRPr="00EB4694">
      <w:rPr>
        <w:rFonts w:ascii="Arial" w:hAnsi="Arial" w:cs="Arial"/>
        <w:bCs/>
        <w:color w:val="0000FF"/>
        <w:sz w:val="20"/>
        <w:szCs w:val="20"/>
      </w:rPr>
      <w:t xml:space="preserve">Zidan </w:t>
    </w:r>
    <w:r w:rsidRPr="00EB4694">
      <w:rPr>
        <w:rFonts w:ascii="Arial" w:hAnsi="Arial" w:cs="Arial"/>
        <w:i/>
        <w:color w:val="0000FF"/>
        <w:sz w:val="20"/>
        <w:szCs w:val="20"/>
      </w:rPr>
      <w:t xml:space="preserve">et. al., </w:t>
    </w:r>
    <w:r w:rsidRPr="00EB4694">
      <w:rPr>
        <w:rFonts w:ascii="Arial" w:hAnsi="Arial" w:cs="Arial"/>
        <w:color w:val="0000FF"/>
        <w:sz w:val="20"/>
        <w:szCs w:val="20"/>
      </w:rPr>
      <w:t>Babcock Univ. Med. J.2026 9(</w:t>
    </w:r>
    <w:r w:rsidR="00E466DA">
      <w:rPr>
        <w:rFonts w:ascii="Arial" w:hAnsi="Arial" w:cs="Arial"/>
        <w:color w:val="0000FF"/>
        <w:sz w:val="20"/>
        <w:szCs w:val="20"/>
      </w:rPr>
      <w:t>S1</w:t>
    </w:r>
    <w:r w:rsidRPr="00EB4694">
      <w:rPr>
        <w:rFonts w:ascii="Arial" w:hAnsi="Arial" w:cs="Arial"/>
        <w:color w:val="0000FF"/>
        <w:sz w:val="20"/>
        <w:szCs w:val="20"/>
      </w:rPr>
      <w:t>)</w:t>
    </w:r>
    <w:r w:rsidR="002A3674">
      <w:rPr>
        <w:rFonts w:ascii="Arial" w:hAnsi="Arial" w:cs="Arial"/>
        <w:color w:val="0000FF"/>
        <w:sz w:val="20"/>
        <w:szCs w:val="20"/>
      </w:rPr>
      <w:t>:1-1</w:t>
    </w:r>
    <w:r w:rsidR="00F80619">
      <w:rPr>
        <w:rFonts w:ascii="Arial" w:hAnsi="Arial" w:cs="Arial"/>
        <w:color w:val="0000FF"/>
        <w:sz w:val="20"/>
        <w:szCs w:val="20"/>
      </w:rPr>
      <w:t>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644CF" w14:textId="06BE0AC4" w:rsidR="00EB2A71" w:rsidRPr="00384349" w:rsidRDefault="00EB2A71" w:rsidP="00EB2A71">
    <w:pPr>
      <w:pStyle w:val="Header"/>
      <w:rPr>
        <w:rFonts w:ascii="Arial" w:hAnsi="Arial" w:cs="Arial"/>
        <w:sz w:val="20"/>
        <w:szCs w:val="20"/>
      </w:rPr>
    </w:pPr>
    <w:bookmarkStart w:id="0" w:name="_Hlk144824038"/>
    <w:bookmarkStart w:id="1" w:name="_Hlk157341737"/>
    <w:bookmarkStart w:id="2" w:name="_Hlk193443673"/>
    <w:bookmarkStart w:id="3" w:name="_Hlk199939334"/>
    <w:bookmarkStart w:id="4" w:name="_Hlk220401145"/>
    <w:r>
      <w:rPr>
        <w:rFonts w:ascii="Arial" w:hAnsi="Arial" w:cs="Arial"/>
        <w:bCs/>
        <w:sz w:val="20"/>
        <w:szCs w:val="20"/>
      </w:rPr>
      <w:t xml:space="preserve">Zidan </w:t>
    </w:r>
    <w:r w:rsidRPr="00384349">
      <w:rPr>
        <w:rFonts w:ascii="Arial" w:hAnsi="Arial" w:cs="Arial"/>
        <w:i/>
        <w:sz w:val="20"/>
        <w:szCs w:val="20"/>
      </w:rPr>
      <w:t xml:space="preserve">et. al., </w:t>
    </w:r>
    <w:r w:rsidRPr="00384349">
      <w:rPr>
        <w:rFonts w:ascii="Arial" w:hAnsi="Arial" w:cs="Arial"/>
        <w:sz w:val="20"/>
        <w:szCs w:val="20"/>
      </w:rPr>
      <w:t>Babcock Univ. Med. J.2026 9(</w:t>
    </w:r>
    <w:r w:rsidR="002F1F3D">
      <w:rPr>
        <w:rFonts w:ascii="Arial" w:hAnsi="Arial" w:cs="Arial"/>
        <w:sz w:val="20"/>
        <w:szCs w:val="20"/>
      </w:rPr>
      <w:t>S1</w:t>
    </w:r>
    <w:r w:rsidRPr="00384349">
      <w:rPr>
        <w:rFonts w:ascii="Arial" w:hAnsi="Arial" w:cs="Arial"/>
        <w:sz w:val="20"/>
        <w:szCs w:val="20"/>
      </w:rPr>
      <w:t>)</w:t>
    </w:r>
    <w:bookmarkEnd w:id="0"/>
    <w:bookmarkEnd w:id="1"/>
    <w:bookmarkEnd w:id="2"/>
    <w:r w:rsidR="002F1F3D">
      <w:rPr>
        <w:rFonts w:ascii="Arial" w:hAnsi="Arial" w:cs="Arial"/>
        <w:sz w:val="20"/>
        <w:szCs w:val="20"/>
      </w:rPr>
      <w:t>:</w:t>
    </w:r>
    <w:r w:rsidR="00C342B0">
      <w:rPr>
        <w:rFonts w:ascii="Arial" w:hAnsi="Arial" w:cs="Arial"/>
        <w:sz w:val="20"/>
        <w:szCs w:val="20"/>
      </w:rPr>
      <w:t>1-1</w:t>
    </w:r>
    <w:r w:rsidR="00F80619">
      <w:rPr>
        <w:rFonts w:ascii="Arial" w:hAnsi="Arial" w:cs="Arial"/>
        <w:sz w:val="20"/>
        <w:szCs w:val="20"/>
      </w:rPr>
      <w:t xml:space="preserve">0 </w:t>
    </w:r>
    <w:r w:rsidR="002F1F3D">
      <w:rPr>
        <w:rFonts w:ascii="Arial" w:hAnsi="Arial" w:cs="Arial"/>
        <w:sz w:val="20"/>
        <w:szCs w:val="20"/>
      </w:rPr>
      <w:t xml:space="preserve">   </w:t>
    </w:r>
    <w:r>
      <w:rPr>
        <w:rFonts w:ascii="Arial" w:hAnsi="Arial" w:cs="Arial"/>
        <w:sz w:val="20"/>
        <w:szCs w:val="20"/>
      </w:rPr>
      <w:t xml:space="preserve">         </w:t>
    </w:r>
    <w:r w:rsidRPr="00384349">
      <w:rPr>
        <w:rFonts w:ascii="Arial" w:hAnsi="Arial" w:cs="Arial"/>
        <w:sz w:val="20"/>
        <w:szCs w:val="20"/>
      </w:rPr>
      <w:t xml:space="preserve">                              </w:t>
    </w:r>
    <w:r w:rsidRPr="00384349">
      <w:rPr>
        <w:rFonts w:ascii="Arial" w:hAnsi="Arial" w:cs="Arial"/>
        <w:noProof/>
        <w:sz w:val="20"/>
        <w:szCs w:val="20"/>
      </w:rPr>
      <w:drawing>
        <wp:inline distT="0" distB="0" distL="0" distR="0" wp14:anchorId="34E4D86F" wp14:editId="4A4FF7E9">
          <wp:extent cx="1295400" cy="438150"/>
          <wp:effectExtent l="0" t="0" r="0" b="0"/>
          <wp:docPr id="971288073" name="Picture 4" descr="Preview of the currently selec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875361" descr="Preview of the currently selected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38150"/>
                  </a:xfrm>
                  <a:prstGeom prst="rect">
                    <a:avLst/>
                  </a:prstGeom>
                  <a:noFill/>
                  <a:ln>
                    <a:noFill/>
                  </a:ln>
                </pic:spPr>
              </pic:pic>
            </a:graphicData>
          </a:graphic>
        </wp:inline>
      </w:drawing>
    </w:r>
  </w:p>
  <w:p w14:paraId="71FA92F6" w14:textId="4E0E0578" w:rsidR="00EB2A71" w:rsidRPr="00384349" w:rsidRDefault="00C342B0" w:rsidP="00EB2A71">
    <w:pPr>
      <w:pStyle w:val="Header"/>
      <w:rPr>
        <w:rFonts w:ascii="Arial" w:hAnsi="Arial" w:cs="Arial"/>
        <w:sz w:val="20"/>
        <w:szCs w:val="20"/>
      </w:rPr>
    </w:pPr>
    <w:hyperlink r:id="rId2" w:history="1">
      <w:r w:rsidRPr="00C342B0">
        <w:rPr>
          <w:rStyle w:val="Hyperlink"/>
          <w:rFonts w:ascii="Arial" w:hAnsi="Arial" w:cs="Arial"/>
          <w:color w:val="0000FF"/>
          <w:sz w:val="20"/>
          <w:szCs w:val="20"/>
        </w:rPr>
        <w:t>https://doi.org/10.38029/babcockuniv.med.j..v9iS1.1570</w:t>
      </w:r>
    </w:hyperlink>
    <w:r w:rsidR="00EB2A71" w:rsidRPr="00C342B0">
      <w:rPr>
        <w:rFonts w:ascii="Arial" w:hAnsi="Arial" w:cs="Arial"/>
        <w:color w:val="0000FF"/>
        <w:sz w:val="20"/>
        <w:szCs w:val="20"/>
      </w:rPr>
      <w:t xml:space="preserve"> </w:t>
    </w:r>
    <w:r w:rsidR="00EB2A71" w:rsidRPr="00384349">
      <w:rPr>
        <w:rFonts w:ascii="Arial" w:hAnsi="Arial" w:cs="Arial"/>
        <w:sz w:val="20"/>
        <w:szCs w:val="20"/>
      </w:rPr>
      <w:t xml:space="preserve">                                           eISSN: 2756-4657</w:t>
    </w:r>
    <w:bookmarkEnd w:id="3"/>
    <w:bookmarkEnd w:id="4"/>
  </w:p>
  <w:p w14:paraId="4F6D6324" w14:textId="77777777" w:rsidR="00EB2A71" w:rsidRDefault="00EB2A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30DD0"/>
    <w:multiLevelType w:val="hybridMultilevel"/>
    <w:tmpl w:val="3A66AC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C89564C"/>
    <w:multiLevelType w:val="multilevel"/>
    <w:tmpl w:val="D7C6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1746952">
    <w:abstractNumId w:val="1"/>
  </w:num>
  <w:num w:numId="2" w16cid:durableId="1828279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90E"/>
    <w:rsid w:val="000011BC"/>
    <w:rsid w:val="00017E0B"/>
    <w:rsid w:val="00021F12"/>
    <w:rsid w:val="000373A5"/>
    <w:rsid w:val="00053828"/>
    <w:rsid w:val="00076FD8"/>
    <w:rsid w:val="000A1058"/>
    <w:rsid w:val="000A7F73"/>
    <w:rsid w:val="000B1216"/>
    <w:rsid w:val="000B23C3"/>
    <w:rsid w:val="000E084B"/>
    <w:rsid w:val="000E2871"/>
    <w:rsid w:val="000E371F"/>
    <w:rsid w:val="000E3C11"/>
    <w:rsid w:val="0011064B"/>
    <w:rsid w:val="00133A34"/>
    <w:rsid w:val="001376B4"/>
    <w:rsid w:val="001450C2"/>
    <w:rsid w:val="00145C00"/>
    <w:rsid w:val="00155D83"/>
    <w:rsid w:val="00162559"/>
    <w:rsid w:val="001659D7"/>
    <w:rsid w:val="001802DF"/>
    <w:rsid w:val="00192CA8"/>
    <w:rsid w:val="00195ED6"/>
    <w:rsid w:val="001A0B76"/>
    <w:rsid w:val="001A4CED"/>
    <w:rsid w:val="001B4AD5"/>
    <w:rsid w:val="001C43D5"/>
    <w:rsid w:val="001D426B"/>
    <w:rsid w:val="001F5FD9"/>
    <w:rsid w:val="00207C21"/>
    <w:rsid w:val="0021495F"/>
    <w:rsid w:val="002233E4"/>
    <w:rsid w:val="0023412E"/>
    <w:rsid w:val="00237C88"/>
    <w:rsid w:val="00253CE7"/>
    <w:rsid w:val="00283731"/>
    <w:rsid w:val="00285F65"/>
    <w:rsid w:val="00286CAC"/>
    <w:rsid w:val="002A3674"/>
    <w:rsid w:val="002A3F29"/>
    <w:rsid w:val="002A7150"/>
    <w:rsid w:val="002C65CE"/>
    <w:rsid w:val="002F1F3D"/>
    <w:rsid w:val="00304D1B"/>
    <w:rsid w:val="00337BDA"/>
    <w:rsid w:val="00337D38"/>
    <w:rsid w:val="00344723"/>
    <w:rsid w:val="003449F3"/>
    <w:rsid w:val="00352E2E"/>
    <w:rsid w:val="0039368A"/>
    <w:rsid w:val="00395D65"/>
    <w:rsid w:val="003961EF"/>
    <w:rsid w:val="003A2A6E"/>
    <w:rsid w:val="003A7F2E"/>
    <w:rsid w:val="003B3F94"/>
    <w:rsid w:val="003B490E"/>
    <w:rsid w:val="003F2FD1"/>
    <w:rsid w:val="003F64F5"/>
    <w:rsid w:val="004065FE"/>
    <w:rsid w:val="00412807"/>
    <w:rsid w:val="00420DEF"/>
    <w:rsid w:val="00424E34"/>
    <w:rsid w:val="00435389"/>
    <w:rsid w:val="0045783A"/>
    <w:rsid w:val="00462CB1"/>
    <w:rsid w:val="004903D9"/>
    <w:rsid w:val="00501D7E"/>
    <w:rsid w:val="00503708"/>
    <w:rsid w:val="00506759"/>
    <w:rsid w:val="0051224C"/>
    <w:rsid w:val="005247A3"/>
    <w:rsid w:val="0052751E"/>
    <w:rsid w:val="0053100B"/>
    <w:rsid w:val="0053662B"/>
    <w:rsid w:val="00542E92"/>
    <w:rsid w:val="005461D2"/>
    <w:rsid w:val="00550B69"/>
    <w:rsid w:val="00552730"/>
    <w:rsid w:val="00553BDA"/>
    <w:rsid w:val="00563967"/>
    <w:rsid w:val="00564240"/>
    <w:rsid w:val="005976B8"/>
    <w:rsid w:val="005A0B00"/>
    <w:rsid w:val="005A0BB0"/>
    <w:rsid w:val="005A30E8"/>
    <w:rsid w:val="005B668F"/>
    <w:rsid w:val="005D56B7"/>
    <w:rsid w:val="00620DA2"/>
    <w:rsid w:val="006252DB"/>
    <w:rsid w:val="006268C9"/>
    <w:rsid w:val="0064637E"/>
    <w:rsid w:val="00647E1D"/>
    <w:rsid w:val="00652EBE"/>
    <w:rsid w:val="00653B9B"/>
    <w:rsid w:val="006623BB"/>
    <w:rsid w:val="00663B68"/>
    <w:rsid w:val="00680E0B"/>
    <w:rsid w:val="00682961"/>
    <w:rsid w:val="00683094"/>
    <w:rsid w:val="006A467F"/>
    <w:rsid w:val="006A52A7"/>
    <w:rsid w:val="006B6F36"/>
    <w:rsid w:val="006C533F"/>
    <w:rsid w:val="006E27C4"/>
    <w:rsid w:val="006F30C4"/>
    <w:rsid w:val="006F53B8"/>
    <w:rsid w:val="0070190E"/>
    <w:rsid w:val="00701BBA"/>
    <w:rsid w:val="00724957"/>
    <w:rsid w:val="00734DEF"/>
    <w:rsid w:val="00754D55"/>
    <w:rsid w:val="0078137C"/>
    <w:rsid w:val="00790B86"/>
    <w:rsid w:val="0079173D"/>
    <w:rsid w:val="00793DC4"/>
    <w:rsid w:val="007B4D13"/>
    <w:rsid w:val="007D115D"/>
    <w:rsid w:val="007E3271"/>
    <w:rsid w:val="00810328"/>
    <w:rsid w:val="00811634"/>
    <w:rsid w:val="00820257"/>
    <w:rsid w:val="008242C0"/>
    <w:rsid w:val="008250F8"/>
    <w:rsid w:val="00880F1A"/>
    <w:rsid w:val="008B2B22"/>
    <w:rsid w:val="008C0FC9"/>
    <w:rsid w:val="008D0068"/>
    <w:rsid w:val="008D2275"/>
    <w:rsid w:val="008D6FCB"/>
    <w:rsid w:val="008D760D"/>
    <w:rsid w:val="008E7A6D"/>
    <w:rsid w:val="00901D8F"/>
    <w:rsid w:val="00923C58"/>
    <w:rsid w:val="009240E9"/>
    <w:rsid w:val="0093527D"/>
    <w:rsid w:val="00993AA4"/>
    <w:rsid w:val="00993CB2"/>
    <w:rsid w:val="009C7E0E"/>
    <w:rsid w:val="009D5AD6"/>
    <w:rsid w:val="009F22DD"/>
    <w:rsid w:val="00A01A22"/>
    <w:rsid w:val="00A111CD"/>
    <w:rsid w:val="00A256B2"/>
    <w:rsid w:val="00A34823"/>
    <w:rsid w:val="00A840B9"/>
    <w:rsid w:val="00AE0F9A"/>
    <w:rsid w:val="00AF055D"/>
    <w:rsid w:val="00AF28C4"/>
    <w:rsid w:val="00B00EE1"/>
    <w:rsid w:val="00B1527D"/>
    <w:rsid w:val="00B2417F"/>
    <w:rsid w:val="00B254AF"/>
    <w:rsid w:val="00B267EF"/>
    <w:rsid w:val="00B32D25"/>
    <w:rsid w:val="00B44296"/>
    <w:rsid w:val="00B50AB4"/>
    <w:rsid w:val="00B56A0D"/>
    <w:rsid w:val="00B56A89"/>
    <w:rsid w:val="00B867CC"/>
    <w:rsid w:val="00B9681C"/>
    <w:rsid w:val="00BA37C9"/>
    <w:rsid w:val="00BC4ED9"/>
    <w:rsid w:val="00BC57A3"/>
    <w:rsid w:val="00BD5CCB"/>
    <w:rsid w:val="00BD666D"/>
    <w:rsid w:val="00BE2DB0"/>
    <w:rsid w:val="00C070D7"/>
    <w:rsid w:val="00C07284"/>
    <w:rsid w:val="00C342B0"/>
    <w:rsid w:val="00C65C02"/>
    <w:rsid w:val="00C6758A"/>
    <w:rsid w:val="00C73A49"/>
    <w:rsid w:val="00C93120"/>
    <w:rsid w:val="00CA5FFE"/>
    <w:rsid w:val="00CA634D"/>
    <w:rsid w:val="00CE096F"/>
    <w:rsid w:val="00CE2249"/>
    <w:rsid w:val="00CE7AE7"/>
    <w:rsid w:val="00D0233C"/>
    <w:rsid w:val="00D35340"/>
    <w:rsid w:val="00D36E85"/>
    <w:rsid w:val="00D57FF5"/>
    <w:rsid w:val="00D73BFC"/>
    <w:rsid w:val="00D825FA"/>
    <w:rsid w:val="00D85296"/>
    <w:rsid w:val="00D85EC7"/>
    <w:rsid w:val="00D8681A"/>
    <w:rsid w:val="00D970DC"/>
    <w:rsid w:val="00DA09A4"/>
    <w:rsid w:val="00DA4BD7"/>
    <w:rsid w:val="00DB500D"/>
    <w:rsid w:val="00DC3F92"/>
    <w:rsid w:val="00DD226F"/>
    <w:rsid w:val="00E27B7F"/>
    <w:rsid w:val="00E45986"/>
    <w:rsid w:val="00E466DA"/>
    <w:rsid w:val="00E517FB"/>
    <w:rsid w:val="00E77DBE"/>
    <w:rsid w:val="00E87283"/>
    <w:rsid w:val="00E958E8"/>
    <w:rsid w:val="00EA4734"/>
    <w:rsid w:val="00EA6D94"/>
    <w:rsid w:val="00EB2A71"/>
    <w:rsid w:val="00EB4694"/>
    <w:rsid w:val="00EC2110"/>
    <w:rsid w:val="00EC5044"/>
    <w:rsid w:val="00EC7F67"/>
    <w:rsid w:val="00EF5307"/>
    <w:rsid w:val="00F00556"/>
    <w:rsid w:val="00F01E49"/>
    <w:rsid w:val="00F17CBA"/>
    <w:rsid w:val="00F23095"/>
    <w:rsid w:val="00F25B57"/>
    <w:rsid w:val="00F2747B"/>
    <w:rsid w:val="00F65BBF"/>
    <w:rsid w:val="00F74190"/>
    <w:rsid w:val="00F74DFE"/>
    <w:rsid w:val="00F74E01"/>
    <w:rsid w:val="00F80619"/>
    <w:rsid w:val="00FA7738"/>
    <w:rsid w:val="00FB0763"/>
    <w:rsid w:val="00FB78F8"/>
    <w:rsid w:val="00FC3003"/>
    <w:rsid w:val="00FD57D1"/>
    <w:rsid w:val="00FE1673"/>
    <w:rsid w:val="00FE172A"/>
    <w:rsid w:val="00FF2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EB2F0"/>
  <w15:chartTrackingRefBased/>
  <w15:docId w15:val="{D3B02D04-60E2-4840-BB96-A48AE4E24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19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19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19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9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9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9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9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9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9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9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19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19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9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9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9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9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9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90E"/>
    <w:rPr>
      <w:rFonts w:eastAsiaTheme="majorEastAsia" w:cstheme="majorBidi"/>
      <w:color w:val="272727" w:themeColor="text1" w:themeTint="D8"/>
    </w:rPr>
  </w:style>
  <w:style w:type="paragraph" w:styleId="Title">
    <w:name w:val="Title"/>
    <w:basedOn w:val="Normal"/>
    <w:next w:val="Normal"/>
    <w:link w:val="TitleChar"/>
    <w:uiPriority w:val="10"/>
    <w:qFormat/>
    <w:rsid w:val="007019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9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9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9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90E"/>
    <w:pPr>
      <w:spacing w:before="160"/>
      <w:jc w:val="center"/>
    </w:pPr>
    <w:rPr>
      <w:i/>
      <w:iCs/>
      <w:color w:val="404040" w:themeColor="text1" w:themeTint="BF"/>
    </w:rPr>
  </w:style>
  <w:style w:type="character" w:customStyle="1" w:styleId="QuoteChar">
    <w:name w:val="Quote Char"/>
    <w:basedOn w:val="DefaultParagraphFont"/>
    <w:link w:val="Quote"/>
    <w:uiPriority w:val="29"/>
    <w:rsid w:val="0070190E"/>
    <w:rPr>
      <w:i/>
      <w:iCs/>
      <w:color w:val="404040" w:themeColor="text1" w:themeTint="BF"/>
    </w:rPr>
  </w:style>
  <w:style w:type="paragraph" w:styleId="ListParagraph">
    <w:name w:val="List Paragraph"/>
    <w:basedOn w:val="Normal"/>
    <w:uiPriority w:val="34"/>
    <w:qFormat/>
    <w:rsid w:val="0070190E"/>
    <w:pPr>
      <w:ind w:left="720"/>
      <w:contextualSpacing/>
    </w:pPr>
  </w:style>
  <w:style w:type="character" w:styleId="IntenseEmphasis">
    <w:name w:val="Intense Emphasis"/>
    <w:basedOn w:val="DefaultParagraphFont"/>
    <w:uiPriority w:val="21"/>
    <w:qFormat/>
    <w:rsid w:val="0070190E"/>
    <w:rPr>
      <w:i/>
      <w:iCs/>
      <w:color w:val="0F4761" w:themeColor="accent1" w:themeShade="BF"/>
    </w:rPr>
  </w:style>
  <w:style w:type="paragraph" w:styleId="IntenseQuote">
    <w:name w:val="Intense Quote"/>
    <w:basedOn w:val="Normal"/>
    <w:next w:val="Normal"/>
    <w:link w:val="IntenseQuoteChar"/>
    <w:uiPriority w:val="30"/>
    <w:qFormat/>
    <w:rsid w:val="007019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90E"/>
    <w:rPr>
      <w:i/>
      <w:iCs/>
      <w:color w:val="0F4761" w:themeColor="accent1" w:themeShade="BF"/>
    </w:rPr>
  </w:style>
  <w:style w:type="character" w:styleId="IntenseReference">
    <w:name w:val="Intense Reference"/>
    <w:basedOn w:val="DefaultParagraphFont"/>
    <w:uiPriority w:val="32"/>
    <w:qFormat/>
    <w:rsid w:val="0070190E"/>
    <w:rPr>
      <w:b/>
      <w:bCs/>
      <w:smallCaps/>
      <w:color w:val="0F4761" w:themeColor="accent1" w:themeShade="BF"/>
      <w:spacing w:val="5"/>
    </w:rPr>
  </w:style>
  <w:style w:type="character" w:styleId="Hyperlink">
    <w:name w:val="Hyperlink"/>
    <w:basedOn w:val="DefaultParagraphFont"/>
    <w:uiPriority w:val="99"/>
    <w:unhideWhenUsed/>
    <w:rsid w:val="005A0B00"/>
    <w:rPr>
      <w:color w:val="467886" w:themeColor="hyperlink"/>
      <w:u w:val="single"/>
    </w:rPr>
  </w:style>
  <w:style w:type="character" w:styleId="UnresolvedMention">
    <w:name w:val="Unresolved Mention"/>
    <w:basedOn w:val="DefaultParagraphFont"/>
    <w:uiPriority w:val="99"/>
    <w:semiHidden/>
    <w:unhideWhenUsed/>
    <w:rsid w:val="005A0B00"/>
    <w:rPr>
      <w:color w:val="605E5C"/>
      <w:shd w:val="clear" w:color="auto" w:fill="E1DFDD"/>
    </w:rPr>
  </w:style>
  <w:style w:type="paragraph" w:styleId="Header">
    <w:name w:val="header"/>
    <w:basedOn w:val="Normal"/>
    <w:link w:val="HeaderChar"/>
    <w:uiPriority w:val="99"/>
    <w:unhideWhenUsed/>
    <w:rsid w:val="00EB2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A71"/>
  </w:style>
  <w:style w:type="paragraph" w:styleId="Footer">
    <w:name w:val="footer"/>
    <w:basedOn w:val="Normal"/>
    <w:link w:val="FooterChar"/>
    <w:uiPriority w:val="99"/>
    <w:unhideWhenUsed/>
    <w:rsid w:val="00EB2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doi.org/10.15420/cfr.2023.24" TargetMode="External"/><Relationship Id="rId26" Type="http://schemas.openxmlformats.org/officeDocument/2006/relationships/hyperlink" Target="https://doi.org/10.1016/j.dsx.2020.06.027" TargetMode="External"/><Relationship Id="rId39" Type="http://schemas.openxmlformats.org/officeDocument/2006/relationships/hyperlink" Target="https://doi.org/10.1016/j.numecd.2025.104158" TargetMode="External"/><Relationship Id="rId21" Type="http://schemas.openxmlformats.org/officeDocument/2006/relationships/hyperlink" Target="https://doi.org/10.3390/jcm13020489" TargetMode="External"/><Relationship Id="rId34" Type="http://schemas.openxmlformats.org/officeDocument/2006/relationships/hyperlink" Target="https://doi.org/10.3389/fcvm.2022.901990"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097/CD9.0000000000000173" TargetMode="External"/><Relationship Id="rId20" Type="http://schemas.openxmlformats.org/officeDocument/2006/relationships/hyperlink" Target="https://doi.org/10.1007/s10741-021-10105-w" TargetMode="External"/><Relationship Id="rId29" Type="http://schemas.openxmlformats.org/officeDocument/2006/relationships/hyperlink" Target="https://doi.org/10.1161/01.CIR.0000025242.79963.4C"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doi.org/10.1016/j.cellsig.2015.07.021" TargetMode="External"/><Relationship Id="rId32" Type="http://schemas.openxmlformats.org/officeDocument/2006/relationships/hyperlink" Target="https://doi.org/10.7759/cureus.99161" TargetMode="External"/><Relationship Id="rId37" Type="http://schemas.openxmlformats.org/officeDocument/2006/relationships/hyperlink" Target="https://doi.org/10.3390/medicina60111841" TargetMode="External"/><Relationship Id="rId40" Type="http://schemas.openxmlformats.org/officeDocument/2006/relationships/hyperlink" Target="https://doi.org/10.1007/s11897-026-00742-3" TargetMode="External"/><Relationship Id="rId5" Type="http://schemas.openxmlformats.org/officeDocument/2006/relationships/footnotes" Target="footnotes.xml"/><Relationship Id="rId15" Type="http://schemas.openxmlformats.org/officeDocument/2006/relationships/hyperlink" Target="https://doi.org/10.1007/s10741-020-09987-z" TargetMode="External"/><Relationship Id="rId23" Type="http://schemas.openxmlformats.org/officeDocument/2006/relationships/hyperlink" Target="https://doi.org/10.3897/folmed.67.e153542" TargetMode="External"/><Relationship Id="rId28" Type="http://schemas.openxmlformats.org/officeDocument/2006/relationships/hyperlink" Target="https://doi.org/10.1056/NEJMoa031681" TargetMode="External"/><Relationship Id="rId36" Type="http://schemas.openxmlformats.org/officeDocument/2006/relationships/hyperlink" Target="https://doi.org/10.1093/eurheartj/ehi631" TargetMode="External"/><Relationship Id="rId10" Type="http://schemas.openxmlformats.org/officeDocument/2006/relationships/header" Target="header2.xml"/><Relationship Id="rId19" Type="http://schemas.openxmlformats.org/officeDocument/2006/relationships/hyperlink" Target="https://doi.org/10.1016/bs.acc.2023.11.005" TargetMode="External"/><Relationship Id="rId31" Type="http://schemas.openxmlformats.org/officeDocument/2006/relationships/hyperlink" Target="https://doi.org/10.5837/bjc.2024.002"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1097/MD.0000000000036895" TargetMode="External"/><Relationship Id="rId22" Type="http://schemas.openxmlformats.org/officeDocument/2006/relationships/hyperlink" Target="https://doi.org/10.13181/mji.v24i1.1208" TargetMode="External"/><Relationship Id="rId27" Type="http://schemas.openxmlformats.org/officeDocument/2006/relationships/hyperlink" Target="https://doi.org/10.1016/j.jacadv.2023.100688" TargetMode="External"/><Relationship Id="rId30" Type="http://schemas.openxmlformats.org/officeDocument/2006/relationships/hyperlink" Target="https://doi.org/10.1016/j.amjcard.2004.12.032" TargetMode="External"/><Relationship Id="rId35" Type="http://schemas.openxmlformats.org/officeDocument/2006/relationships/hyperlink" Target="https://doi.org/10.1016/j.cca.2024.119937" TargetMode="Externa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doi.org/10.1016/bs.acc.2015.10.006" TargetMode="External"/><Relationship Id="rId25" Type="http://schemas.openxmlformats.org/officeDocument/2006/relationships/hyperlink" Target="https://doi.org/10.1093/eurheartj/ehp098" TargetMode="External"/><Relationship Id="rId33" Type="http://schemas.openxmlformats.org/officeDocument/2006/relationships/hyperlink" Target="https://doi.org/10.1111/j.1751-7133.2010.00177.x" TargetMode="External"/><Relationship Id="rId38" Type="http://schemas.openxmlformats.org/officeDocument/2006/relationships/hyperlink" Target="https://doi.org/10.1161/CIRCHEARTFAILURE.110.960096"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publicdomain/zero/1.0/" TargetMode="External"/><Relationship Id="rId2" Type="http://schemas.openxmlformats.org/officeDocument/2006/relationships/hyperlink" Target="http://creativecommons.org/licenses/by/4.0/" TargetMode="External"/><Relationship Id="rId1" Type="http://schemas.openxmlformats.org/officeDocument/2006/relationships/hyperlink" Target="mailto:motazmasoody718@gmail.com"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s://doi.org/10.38029/babcockuniv.med.j..v9iS1.157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6473</Words>
  <Characters>36897</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Olumide Abiodun</dc:creator>
  <cp:keywords/>
  <dc:description/>
  <cp:lastModifiedBy>HomePC</cp:lastModifiedBy>
  <cp:revision>2</cp:revision>
  <dcterms:created xsi:type="dcterms:W3CDTF">2026-07-22T06:55:00Z</dcterms:created>
  <dcterms:modified xsi:type="dcterms:W3CDTF">2026-07-22T06:55:00Z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2cff8e5f-d1e3-4e74-b38d-71438bf9b914</vt:lpwstr>
  </property>
</Properties>
</file>