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DA651" w14:textId="2D9D9B53" w:rsidR="00E06FD6" w:rsidRPr="00E06FD6" w:rsidRDefault="00187190" w:rsidP="00847404">
      <w:pPr>
        <w:spacing w:after="0" w:line="240" w:lineRule="auto"/>
        <w:rPr>
          <w:rFonts w:ascii="Arial" w:eastAsia="Times New Roman" w:hAnsi="Arial" w:cs="Arial"/>
          <w:color w:val="0F1115"/>
          <w:kern w:val="0"/>
          <w:sz w:val="20"/>
          <w:szCs w:val="20"/>
          <w:lang w:eastAsia="en-GB"/>
          <w14:ligatures w14:val="none"/>
        </w:rPr>
      </w:pPr>
      <w:r w:rsidRPr="001239BE">
        <w:rPr>
          <w:noProof/>
        </w:rPr>
        <w:drawing>
          <wp:inline distT="0" distB="0" distL="0" distR="0" wp14:anchorId="125C9DCA" wp14:editId="2BE494CB">
            <wp:extent cx="5731510" cy="248285"/>
            <wp:effectExtent l="0" t="0" r="2540" b="0"/>
            <wp:docPr id="16574783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248285"/>
                    </a:xfrm>
                    <a:prstGeom prst="rect">
                      <a:avLst/>
                    </a:prstGeom>
                    <a:noFill/>
                  </pic:spPr>
                </pic:pic>
              </a:graphicData>
            </a:graphic>
          </wp:inline>
        </w:drawing>
      </w:r>
    </w:p>
    <w:p w14:paraId="7FD67B4D" w14:textId="71E9866B" w:rsidR="00062B53" w:rsidRPr="00AA6570" w:rsidRDefault="00062B53" w:rsidP="00847404">
      <w:pPr>
        <w:spacing w:after="0" w:line="240" w:lineRule="auto"/>
        <w:rPr>
          <w:rFonts w:ascii="Arial" w:eastAsia="Times New Roman" w:hAnsi="Arial" w:cs="Arial"/>
          <w:color w:val="0F1115"/>
          <w:kern w:val="0"/>
          <w:sz w:val="44"/>
          <w:szCs w:val="44"/>
          <w:lang w:eastAsia="en-GB"/>
          <w14:ligatures w14:val="none"/>
        </w:rPr>
      </w:pPr>
      <w:r w:rsidRPr="00AA6570">
        <w:rPr>
          <w:rFonts w:ascii="Arial" w:eastAsia="Times New Roman" w:hAnsi="Arial" w:cs="Arial"/>
          <w:color w:val="0F1115"/>
          <w:kern w:val="0"/>
          <w:sz w:val="44"/>
          <w:szCs w:val="44"/>
          <w:lang w:eastAsia="en-GB"/>
          <w14:ligatures w14:val="none"/>
        </w:rPr>
        <w:t xml:space="preserve">Folic acid, folate receptor autoantibodies, glutathione and vitamin D3 as biomarkers of cerebral folate deficiency in children with autism spectrum disorder: </w:t>
      </w:r>
      <w:r w:rsidR="00FC23D9">
        <w:rPr>
          <w:rFonts w:ascii="Arial" w:eastAsia="Times New Roman" w:hAnsi="Arial" w:cs="Arial"/>
          <w:color w:val="0F1115"/>
          <w:kern w:val="0"/>
          <w:sz w:val="44"/>
          <w:szCs w:val="44"/>
          <w:lang w:eastAsia="en-GB"/>
          <w14:ligatures w14:val="none"/>
        </w:rPr>
        <w:t>A</w:t>
      </w:r>
      <w:r w:rsidRPr="00AA6570">
        <w:rPr>
          <w:rFonts w:ascii="Arial" w:eastAsia="Times New Roman" w:hAnsi="Arial" w:cs="Arial"/>
          <w:color w:val="0F1115"/>
          <w:kern w:val="0"/>
          <w:sz w:val="44"/>
          <w:szCs w:val="44"/>
          <w:lang w:eastAsia="en-GB"/>
          <w14:ligatures w14:val="none"/>
        </w:rPr>
        <w:t xml:space="preserve"> case</w:t>
      </w:r>
      <w:r w:rsidRPr="00AA6570">
        <w:rPr>
          <w:rFonts w:ascii="Cambria Math" w:eastAsia="Times New Roman" w:hAnsi="Cambria Math" w:cs="Cambria Math"/>
          <w:color w:val="0F1115"/>
          <w:kern w:val="0"/>
          <w:sz w:val="44"/>
          <w:szCs w:val="44"/>
          <w:lang w:eastAsia="en-GB"/>
          <w14:ligatures w14:val="none"/>
        </w:rPr>
        <w:t>‑</w:t>
      </w:r>
      <w:r w:rsidRPr="00AA6570">
        <w:rPr>
          <w:rFonts w:ascii="Arial" w:eastAsia="Times New Roman" w:hAnsi="Arial" w:cs="Arial"/>
          <w:color w:val="0F1115"/>
          <w:kern w:val="0"/>
          <w:sz w:val="44"/>
          <w:szCs w:val="44"/>
          <w:lang w:eastAsia="en-GB"/>
          <w14:ligatures w14:val="none"/>
        </w:rPr>
        <w:t>control study from Iraq</w:t>
      </w:r>
    </w:p>
    <w:p w14:paraId="5418F139" w14:textId="6B0A3CD9" w:rsidR="00B77644" w:rsidRPr="00C84A80" w:rsidRDefault="00B77644" w:rsidP="00847404">
      <w:pPr>
        <w:shd w:val="clear" w:color="auto" w:fill="FFFFFF"/>
        <w:spacing w:after="0" w:line="240" w:lineRule="auto"/>
        <w:jc w:val="both"/>
        <w:rPr>
          <w:rFonts w:ascii="Arial" w:eastAsia="Times New Roman" w:hAnsi="Arial" w:cs="Arial"/>
          <w:color w:val="0F1115"/>
          <w:kern w:val="0"/>
          <w:lang w:eastAsia="en-GB"/>
          <w14:ligatures w14:val="none"/>
        </w:rPr>
      </w:pPr>
      <w:proofErr w:type="spellStart"/>
      <w:r w:rsidRPr="00C84A80">
        <w:rPr>
          <w:rFonts w:ascii="Arial" w:eastAsia="Times New Roman" w:hAnsi="Arial" w:cs="Arial"/>
          <w:color w:val="0F1115"/>
          <w:kern w:val="0"/>
          <w:lang w:eastAsia="en-GB"/>
          <w14:ligatures w14:val="none"/>
        </w:rPr>
        <w:t>Iqili</w:t>
      </w:r>
      <w:proofErr w:type="spellEnd"/>
      <w:r w:rsidRPr="00C84A80">
        <w:rPr>
          <w:rFonts w:ascii="Arial" w:eastAsia="Times New Roman" w:hAnsi="Arial" w:cs="Arial"/>
          <w:color w:val="0F1115"/>
          <w:kern w:val="0"/>
          <w:lang w:eastAsia="en-GB"/>
          <w14:ligatures w14:val="none"/>
        </w:rPr>
        <w:t xml:space="preserve"> HSI</w:t>
      </w:r>
      <w:r w:rsidR="00872EB3" w:rsidRPr="00872EB3">
        <w:rPr>
          <w:rFonts w:ascii="Arial" w:eastAsia="Times New Roman" w:hAnsi="Arial" w:cs="Arial"/>
          <w:color w:val="0F1115"/>
          <w:kern w:val="0"/>
          <w:vertAlign w:val="superscript"/>
          <w:lang w:eastAsia="en-GB"/>
          <w14:ligatures w14:val="none"/>
        </w:rPr>
        <w:t>1</w:t>
      </w:r>
      <w:hyperlink r:id="rId8" w:history="1">
        <w:r w:rsidR="00116204" w:rsidRPr="00116204">
          <w:rPr>
            <w:rStyle w:val="Hyperlink"/>
            <w:rFonts w:ascii="Arial" w:eastAsia="Times New Roman" w:hAnsi="Arial" w:cs="Arial"/>
            <w:color w:val="0066FF"/>
            <w:kern w:val="0"/>
            <w:vertAlign w:val="superscript"/>
            <w:lang w:eastAsia="en-GB"/>
            <w14:ligatures w14:val="none"/>
          </w:rPr>
          <w:t>ID</w:t>
        </w:r>
      </w:hyperlink>
      <w:r w:rsidRPr="00C84A80">
        <w:rPr>
          <w:rFonts w:ascii="Arial" w:eastAsia="Times New Roman" w:hAnsi="Arial" w:cs="Arial"/>
          <w:color w:val="0F1115"/>
          <w:kern w:val="0"/>
          <w:lang w:eastAsia="en-GB"/>
          <w14:ligatures w14:val="none"/>
        </w:rPr>
        <w:t>, Ali BR</w:t>
      </w:r>
      <w:r w:rsidR="00872EB3" w:rsidRPr="00872EB3">
        <w:rPr>
          <w:rFonts w:ascii="Arial" w:eastAsia="Times New Roman" w:hAnsi="Arial" w:cs="Arial"/>
          <w:color w:val="0F1115"/>
          <w:kern w:val="0"/>
          <w:vertAlign w:val="superscript"/>
          <w:lang w:eastAsia="en-GB"/>
          <w14:ligatures w14:val="none"/>
        </w:rPr>
        <w:t>1</w:t>
      </w:r>
    </w:p>
    <w:p w14:paraId="2FAABE5A" w14:textId="77777777" w:rsidR="00C84A80" w:rsidRPr="00062B53" w:rsidRDefault="00C84A80"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DBDFEB6" w14:textId="7CAFC3A6" w:rsidR="00872EB3" w:rsidRDefault="00872EB3" w:rsidP="00847404">
      <w:pPr>
        <w:shd w:val="clear" w:color="auto" w:fill="FFFFFF"/>
        <w:spacing w:after="0" w:line="240" w:lineRule="auto"/>
        <w:rPr>
          <w:rFonts w:ascii="Arial" w:eastAsia="Times New Roman" w:hAnsi="Arial" w:cs="Arial"/>
          <w:color w:val="0F1115"/>
          <w:kern w:val="0"/>
          <w:sz w:val="20"/>
          <w:szCs w:val="20"/>
          <w:lang w:eastAsia="en-GB"/>
          <w14:ligatures w14:val="none"/>
        </w:rPr>
      </w:pPr>
      <w:r w:rsidRPr="00872EB3">
        <w:rPr>
          <w:rFonts w:ascii="Arial" w:eastAsia="Times New Roman" w:hAnsi="Arial" w:cs="Arial"/>
          <w:i/>
          <w:iCs/>
          <w:color w:val="0F1115"/>
          <w:kern w:val="0"/>
          <w:sz w:val="20"/>
          <w:szCs w:val="20"/>
          <w:vertAlign w:val="superscript"/>
          <w:lang w:eastAsia="en-GB"/>
          <w14:ligatures w14:val="none"/>
        </w:rPr>
        <w:t>1</w:t>
      </w:r>
      <w:r w:rsidR="00B77644" w:rsidRPr="00872EB3">
        <w:rPr>
          <w:rFonts w:ascii="Arial" w:eastAsia="Times New Roman" w:hAnsi="Arial" w:cs="Arial"/>
          <w:i/>
          <w:iCs/>
          <w:color w:val="0F1115"/>
          <w:kern w:val="0"/>
          <w:sz w:val="20"/>
          <w:szCs w:val="20"/>
          <w:lang w:eastAsia="en-GB"/>
          <w14:ligatures w14:val="none"/>
        </w:rPr>
        <w:t xml:space="preserve">Department of Pathological Analysis, College of Science, University of </w:t>
      </w:r>
      <w:proofErr w:type="spellStart"/>
      <w:r w:rsidR="00B77644" w:rsidRPr="00872EB3">
        <w:rPr>
          <w:rFonts w:ascii="Arial" w:eastAsia="Times New Roman" w:hAnsi="Arial" w:cs="Arial"/>
          <w:i/>
          <w:iCs/>
          <w:color w:val="0F1115"/>
          <w:kern w:val="0"/>
          <w:sz w:val="20"/>
          <w:szCs w:val="20"/>
          <w:lang w:eastAsia="en-GB"/>
          <w14:ligatures w14:val="none"/>
        </w:rPr>
        <w:t>Thi</w:t>
      </w:r>
      <w:r w:rsidR="00B77644" w:rsidRPr="00872EB3">
        <w:rPr>
          <w:rFonts w:ascii="Arial" w:eastAsia="Times New Roman" w:hAnsi="Arial" w:cs="Arial"/>
          <w:i/>
          <w:iCs/>
          <w:color w:val="0F1115"/>
          <w:kern w:val="0"/>
          <w:sz w:val="20"/>
          <w:szCs w:val="20"/>
          <w:lang w:eastAsia="en-GB"/>
          <w14:ligatures w14:val="none"/>
        </w:rPr>
        <w:noBreakHyphen/>
        <w:t>Qar</w:t>
      </w:r>
      <w:proofErr w:type="spellEnd"/>
      <w:r w:rsidR="00B77644" w:rsidRPr="00872EB3">
        <w:rPr>
          <w:rFonts w:ascii="Arial" w:eastAsia="Times New Roman" w:hAnsi="Arial" w:cs="Arial"/>
          <w:i/>
          <w:iCs/>
          <w:color w:val="0F1115"/>
          <w:kern w:val="0"/>
          <w:sz w:val="20"/>
          <w:szCs w:val="20"/>
          <w:lang w:eastAsia="en-GB"/>
          <w14:ligatures w14:val="none"/>
        </w:rPr>
        <w:t>, Nasiriyah, Iraq</w:t>
      </w:r>
      <w:r w:rsidR="00B77644" w:rsidRPr="00062B53">
        <w:rPr>
          <w:rFonts w:ascii="Arial" w:eastAsia="Times New Roman" w:hAnsi="Arial" w:cs="Arial"/>
          <w:color w:val="0F1115"/>
          <w:kern w:val="0"/>
          <w:sz w:val="20"/>
          <w:szCs w:val="20"/>
          <w:lang w:eastAsia="en-GB"/>
          <w14:ligatures w14:val="none"/>
        </w:rPr>
        <w:br/>
      </w:r>
    </w:p>
    <w:p w14:paraId="03CE3AE6" w14:textId="06BBCB79" w:rsidR="00187190" w:rsidRPr="004E7B52" w:rsidRDefault="00187190" w:rsidP="00187190">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Submitted: </w:t>
      </w:r>
      <w:r>
        <w:rPr>
          <w:rFonts w:ascii="Arial" w:eastAsia="SimSun" w:hAnsi="Arial" w:cs="Arial"/>
          <w:i/>
          <w:iCs/>
          <w:color w:val="000000"/>
          <w:sz w:val="16"/>
          <w:szCs w:val="16"/>
        </w:rPr>
        <w:t>9</w:t>
      </w:r>
      <w:r w:rsidRPr="00387799">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w:t>
      </w:r>
      <w:r w:rsidR="0009550F">
        <w:rPr>
          <w:rFonts w:ascii="Arial" w:eastAsia="SimSun" w:hAnsi="Arial" w:cs="Arial"/>
          <w:i/>
          <w:iCs/>
          <w:color w:val="000000"/>
          <w:sz w:val="16"/>
          <w:szCs w:val="16"/>
        </w:rPr>
        <w:t>February</w:t>
      </w:r>
      <w:r>
        <w:rPr>
          <w:rFonts w:ascii="Arial" w:eastAsia="SimSun" w:hAnsi="Arial" w:cs="Arial"/>
          <w:i/>
          <w:iCs/>
          <w:color w:val="000000"/>
          <w:sz w:val="16"/>
          <w:szCs w:val="16"/>
        </w:rPr>
        <w:t xml:space="preserve"> </w:t>
      </w:r>
      <w:r w:rsidRPr="004E7B52">
        <w:rPr>
          <w:rFonts w:ascii="Arial" w:eastAsia="SimSun" w:hAnsi="Arial" w:cs="Arial"/>
          <w:i/>
          <w:iCs/>
          <w:color w:val="000000"/>
          <w:sz w:val="16"/>
          <w:szCs w:val="16"/>
        </w:rPr>
        <w:t>2026</w:t>
      </w:r>
    </w:p>
    <w:p w14:paraId="19B63371" w14:textId="57057942" w:rsidR="00187190" w:rsidRPr="004E7B52" w:rsidRDefault="00187190" w:rsidP="00187190">
      <w:pPr>
        <w:autoSpaceDE w:val="0"/>
        <w:autoSpaceDN w:val="0"/>
        <w:adjustRightInd w:val="0"/>
        <w:spacing w:after="0" w:line="240" w:lineRule="auto"/>
        <w:jc w:val="both"/>
        <w:rPr>
          <w:rFonts w:ascii="Arial" w:eastAsia="SimSun" w:hAnsi="Arial" w:cs="Arial"/>
          <w:color w:val="000000"/>
          <w:sz w:val="16"/>
          <w:szCs w:val="16"/>
        </w:rPr>
      </w:pPr>
      <w:r w:rsidRPr="004E7B52">
        <w:rPr>
          <w:rFonts w:ascii="Arial" w:eastAsia="SimSun" w:hAnsi="Arial" w:cs="Arial"/>
          <w:i/>
          <w:iCs/>
          <w:color w:val="000000"/>
          <w:sz w:val="16"/>
          <w:szCs w:val="16"/>
        </w:rPr>
        <w:t xml:space="preserve">Accepted: </w:t>
      </w:r>
      <w:r>
        <w:rPr>
          <w:rFonts w:ascii="Arial" w:eastAsia="SimSun" w:hAnsi="Arial" w:cs="Arial"/>
          <w:i/>
          <w:iCs/>
          <w:color w:val="000000"/>
          <w:sz w:val="16"/>
          <w:szCs w:val="16"/>
        </w:rPr>
        <w:t>13</w:t>
      </w:r>
      <w:r w:rsidRPr="004E7B52">
        <w:rPr>
          <w:rFonts w:ascii="Arial" w:eastAsia="SimSun" w:hAnsi="Arial" w:cs="Arial"/>
          <w:i/>
          <w:iCs/>
          <w:color w:val="000000"/>
          <w:sz w:val="16"/>
          <w:szCs w:val="16"/>
          <w:vertAlign w:val="superscript"/>
        </w:rPr>
        <w:t>th</w:t>
      </w:r>
      <w:r>
        <w:rPr>
          <w:rFonts w:ascii="Arial" w:eastAsia="SimSun" w:hAnsi="Arial" w:cs="Arial"/>
          <w:i/>
          <w:iCs/>
          <w:color w:val="000000"/>
          <w:sz w:val="16"/>
          <w:szCs w:val="16"/>
        </w:rPr>
        <w:t xml:space="preserve"> May </w:t>
      </w:r>
      <w:r w:rsidRPr="004E7B52">
        <w:rPr>
          <w:rFonts w:ascii="Arial" w:eastAsia="SimSun" w:hAnsi="Arial" w:cs="Arial"/>
          <w:i/>
          <w:iCs/>
          <w:color w:val="000000"/>
          <w:sz w:val="16"/>
          <w:szCs w:val="16"/>
        </w:rPr>
        <w:t>2026</w:t>
      </w:r>
    </w:p>
    <w:p w14:paraId="7DE03E21" w14:textId="72494206" w:rsidR="00187190" w:rsidRPr="004E7B52" w:rsidRDefault="00187190" w:rsidP="00187190">
      <w:pPr>
        <w:autoSpaceDE w:val="0"/>
        <w:autoSpaceDN w:val="0"/>
        <w:adjustRightInd w:val="0"/>
        <w:spacing w:after="0" w:line="240" w:lineRule="auto"/>
        <w:jc w:val="both"/>
        <w:rPr>
          <w:rFonts w:ascii="Arial" w:eastAsia="SimSun" w:hAnsi="Arial" w:cs="Arial"/>
          <w:i/>
          <w:iCs/>
          <w:color w:val="000000"/>
          <w:sz w:val="16"/>
          <w:szCs w:val="16"/>
        </w:rPr>
      </w:pPr>
      <w:r w:rsidRPr="004E7B52">
        <w:rPr>
          <w:rFonts w:ascii="Arial" w:eastAsia="SimSun" w:hAnsi="Arial" w:cs="Arial"/>
          <w:i/>
          <w:iCs/>
          <w:color w:val="000000"/>
          <w:sz w:val="16"/>
          <w:szCs w:val="16"/>
        </w:rPr>
        <w:t>Published: 3</w:t>
      </w:r>
      <w:r w:rsidR="00FF3F6F">
        <w:rPr>
          <w:rFonts w:ascii="Arial" w:eastAsia="SimSun" w:hAnsi="Arial" w:cs="Arial"/>
          <w:i/>
          <w:iCs/>
          <w:color w:val="000000"/>
          <w:sz w:val="16"/>
          <w:szCs w:val="16"/>
        </w:rPr>
        <w:t>1</w:t>
      </w:r>
      <w:r w:rsidR="00FF3F6F" w:rsidRPr="00FF3F6F">
        <w:rPr>
          <w:rFonts w:ascii="Arial" w:eastAsia="SimSun" w:hAnsi="Arial" w:cs="Arial"/>
          <w:i/>
          <w:iCs/>
          <w:color w:val="000000"/>
          <w:sz w:val="16"/>
          <w:szCs w:val="16"/>
          <w:vertAlign w:val="superscript"/>
        </w:rPr>
        <w:t>st</w:t>
      </w:r>
      <w:r w:rsidR="00FF3F6F">
        <w:rPr>
          <w:rFonts w:ascii="Arial" w:eastAsia="SimSun" w:hAnsi="Arial" w:cs="Arial"/>
          <w:i/>
          <w:iCs/>
          <w:color w:val="000000"/>
          <w:sz w:val="16"/>
          <w:szCs w:val="16"/>
        </w:rPr>
        <w:t xml:space="preserve"> Octo</w:t>
      </w:r>
      <w:r w:rsidRPr="004E7B52">
        <w:rPr>
          <w:rFonts w:ascii="Arial" w:eastAsia="SimSun" w:hAnsi="Arial" w:cs="Arial"/>
          <w:i/>
          <w:iCs/>
          <w:color w:val="000000"/>
          <w:sz w:val="16"/>
          <w:szCs w:val="16"/>
        </w:rPr>
        <w:t>ber 2026</w:t>
      </w:r>
    </w:p>
    <w:p w14:paraId="1EBC6E27" w14:textId="77777777" w:rsidR="00187190" w:rsidRPr="00E968EA" w:rsidRDefault="00187190" w:rsidP="00187190">
      <w:pPr>
        <w:spacing w:after="0" w:line="240" w:lineRule="auto"/>
        <w:jc w:val="both"/>
        <w:rPr>
          <w:rFonts w:ascii="Arial" w:eastAsia="Calibri" w:hAnsi="Arial" w:cs="Arial"/>
          <w:kern w:val="0"/>
          <w:sz w:val="20"/>
          <w:szCs w:val="20"/>
          <w14:ligatures w14:val="none"/>
        </w:rPr>
      </w:pPr>
      <w:r w:rsidRPr="004E7B52">
        <w:rPr>
          <w:rFonts w:ascii="Arial" w:eastAsia="Calibri" w:hAnsi="Arial" w:cs="Arial"/>
          <w:color w:val="0000FF"/>
          <w:kern w:val="0"/>
          <w:sz w:val="20"/>
          <w:szCs w:val="20"/>
          <w:u w:val="single"/>
          <w14:ligatures w14:val="none"/>
        </w:rPr>
        <w:t>ID</w:t>
      </w:r>
      <w:r w:rsidRPr="004E7B52">
        <w:rPr>
          <w:rFonts w:ascii="Arial" w:eastAsia="Calibri" w:hAnsi="Arial" w:cs="Arial"/>
          <w:kern w:val="0"/>
          <w:sz w:val="20"/>
          <w:szCs w:val="20"/>
          <w14:ligatures w14:val="none"/>
        </w:rPr>
        <w:t xml:space="preserve">: </w:t>
      </w:r>
      <w:proofErr w:type="spellStart"/>
      <w:r w:rsidRPr="004E7B52">
        <w:rPr>
          <w:rFonts w:ascii="Arial" w:eastAsia="Calibri" w:hAnsi="Arial" w:cs="Arial"/>
          <w:kern w:val="0"/>
          <w:sz w:val="20"/>
          <w:szCs w:val="20"/>
          <w14:ligatures w14:val="none"/>
        </w:rPr>
        <w:t>Orcid</w:t>
      </w:r>
      <w:proofErr w:type="spellEnd"/>
      <w:r w:rsidRPr="004E7B52">
        <w:rPr>
          <w:rFonts w:ascii="Arial" w:eastAsia="Calibri" w:hAnsi="Arial" w:cs="Arial"/>
          <w:kern w:val="0"/>
          <w:sz w:val="20"/>
          <w:szCs w:val="20"/>
          <w14:ligatures w14:val="none"/>
        </w:rPr>
        <w:t xml:space="preserve"> ID</w:t>
      </w:r>
    </w:p>
    <w:p w14:paraId="3E4CD923" w14:textId="42A7469A" w:rsidR="00187190" w:rsidRDefault="004E32C4" w:rsidP="00847404">
      <w:pPr>
        <w:shd w:val="clear" w:color="auto" w:fill="FFFFFF"/>
        <w:spacing w:after="0" w:line="240" w:lineRule="auto"/>
        <w:rPr>
          <w:rFonts w:ascii="Arial" w:eastAsia="Times New Roman" w:hAnsi="Arial" w:cs="Arial"/>
          <w:color w:val="0F1115"/>
          <w:kern w:val="0"/>
          <w:sz w:val="20"/>
          <w:szCs w:val="20"/>
          <w:lang w:eastAsia="en-GB"/>
          <w14:ligatures w14:val="none"/>
        </w:rPr>
      </w:pPr>
      <w:r w:rsidRPr="001239BE">
        <w:rPr>
          <w:noProof/>
          <w:lang w:eastAsia="en-GB"/>
        </w:rPr>
        <mc:AlternateContent>
          <mc:Choice Requires="wps">
            <w:drawing>
              <wp:anchor distT="0" distB="0" distL="114300" distR="114300" simplePos="0" relativeHeight="251659264" behindDoc="0" locked="0" layoutInCell="1" allowOverlap="1" wp14:anchorId="29539E25" wp14:editId="264C6D3F">
                <wp:simplePos x="0" y="0"/>
                <wp:positionH relativeFrom="margin">
                  <wp:align>right</wp:align>
                </wp:positionH>
                <wp:positionV relativeFrom="paragraph">
                  <wp:posOffset>143510</wp:posOffset>
                </wp:positionV>
                <wp:extent cx="5715000" cy="2870200"/>
                <wp:effectExtent l="0" t="0" r="19050" b="25400"/>
                <wp:wrapNone/>
                <wp:docPr id="765421686" name="Rectangle 17"/>
                <wp:cNvGraphicFramePr/>
                <a:graphic xmlns:a="http://schemas.openxmlformats.org/drawingml/2006/main">
                  <a:graphicData uri="http://schemas.microsoft.com/office/word/2010/wordprocessingShape">
                    <wps:wsp>
                      <wps:cNvSpPr/>
                      <wps:spPr>
                        <a:xfrm>
                          <a:off x="0" y="0"/>
                          <a:ext cx="5715000" cy="2870200"/>
                        </a:xfrm>
                        <a:prstGeom prst="rect">
                          <a:avLst/>
                        </a:prstGeom>
                        <a:solidFill>
                          <a:srgbClr val="5B9BD5"/>
                        </a:solidFill>
                        <a:ln w="12700" cap="flat" cmpd="sng" algn="ctr">
                          <a:solidFill>
                            <a:srgbClr val="5B9BD5">
                              <a:shade val="50000"/>
                            </a:srgbClr>
                          </a:solidFill>
                          <a:prstDash val="solid"/>
                          <a:miter lim="800000"/>
                        </a:ln>
                        <a:effectLst/>
                      </wps:spPr>
                      <wps:txbx>
                        <w:txbxContent>
                          <w:p w14:paraId="3BE0B6E5" w14:textId="77777777" w:rsidR="004E32C4" w:rsidRDefault="004E32C4" w:rsidP="004E32C4">
                            <w:pPr>
                              <w:spacing w:after="0" w:line="240" w:lineRule="auto"/>
                              <w:jc w:val="both"/>
                              <w:rPr>
                                <w:rFonts w:ascii="Arial" w:hAnsi="Arial" w:cs="Arial"/>
                                <w:b/>
                                <w:sz w:val="18"/>
                                <w:szCs w:val="18"/>
                              </w:rPr>
                            </w:pPr>
                            <w:r w:rsidRPr="001239BE">
                              <w:rPr>
                                <w:rFonts w:ascii="Arial" w:hAnsi="Arial" w:cs="Arial"/>
                                <w:b/>
                                <w:sz w:val="18"/>
                                <w:szCs w:val="18"/>
                              </w:rPr>
                              <w:t>Abstract</w:t>
                            </w:r>
                          </w:p>
                          <w:p w14:paraId="475D59EF"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Objective:</w:t>
                            </w:r>
                            <w:r w:rsidRPr="004E32C4">
                              <w:rPr>
                                <w:rFonts w:ascii="Arial" w:hAnsi="Arial" w:cs="Arial"/>
                                <w:sz w:val="18"/>
                                <w:szCs w:val="18"/>
                              </w:rPr>
                              <w:t> To assess serum levels of vitamin D3, folic acid and reduced glutathione in children with autism spectrum disorder (ASD) in relation to the presence of folate receptor alpha (FOLR1) autoantibodies, and to explore associations with ASD severity.</w:t>
                            </w:r>
                          </w:p>
                          <w:p w14:paraId="634FF1CD"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Methods:</w:t>
                            </w:r>
                            <w:r w:rsidRPr="004E32C4">
                              <w:rPr>
                                <w:rFonts w:ascii="Arial" w:hAnsi="Arial" w:cs="Arial"/>
                                <w:sz w:val="18"/>
                                <w:szCs w:val="18"/>
                              </w:rPr>
                              <w:t> A case</w:t>
                            </w:r>
                            <w:r w:rsidRPr="004E32C4">
                              <w:rPr>
                                <w:rFonts w:ascii="Arial" w:hAnsi="Arial" w:cs="Arial"/>
                                <w:sz w:val="18"/>
                                <w:szCs w:val="18"/>
                              </w:rPr>
                              <w:noBreakHyphen/>
                              <w:t xml:space="preserve">control study was conducted between October 2025 and January 2026 at the QAR Autism Rehabilitation Centre and </w:t>
                            </w:r>
                            <w:proofErr w:type="spellStart"/>
                            <w:r w:rsidRPr="004E32C4">
                              <w:rPr>
                                <w:rFonts w:ascii="Arial" w:hAnsi="Arial" w:cs="Arial"/>
                                <w:sz w:val="18"/>
                                <w:szCs w:val="18"/>
                              </w:rPr>
                              <w:t>Alshatra</w:t>
                            </w:r>
                            <w:proofErr w:type="spellEnd"/>
                            <w:r w:rsidRPr="004E32C4">
                              <w:rPr>
                                <w:rFonts w:ascii="Arial" w:hAnsi="Arial" w:cs="Arial"/>
                                <w:sz w:val="18"/>
                                <w:szCs w:val="18"/>
                              </w:rPr>
                              <w:t xml:space="preserve"> General Hospital in </w:t>
                            </w:r>
                            <w:proofErr w:type="spellStart"/>
                            <w:r w:rsidRPr="004E32C4">
                              <w:rPr>
                                <w:rFonts w:ascii="Arial" w:hAnsi="Arial" w:cs="Arial"/>
                                <w:sz w:val="18"/>
                                <w:szCs w:val="18"/>
                              </w:rPr>
                              <w:t>Thi</w:t>
                            </w:r>
                            <w:proofErr w:type="spellEnd"/>
                            <w:r w:rsidRPr="004E32C4">
                              <w:rPr>
                                <w:rFonts w:ascii="Arial" w:hAnsi="Arial" w:cs="Arial"/>
                                <w:sz w:val="18"/>
                                <w:szCs w:val="18"/>
                              </w:rPr>
                              <w:t xml:space="preserve"> </w:t>
                            </w:r>
                            <w:proofErr w:type="spellStart"/>
                            <w:r w:rsidRPr="004E32C4">
                              <w:rPr>
                                <w:rFonts w:ascii="Arial" w:hAnsi="Arial" w:cs="Arial"/>
                                <w:sz w:val="18"/>
                                <w:szCs w:val="18"/>
                              </w:rPr>
                              <w:t>Qar</w:t>
                            </w:r>
                            <w:proofErr w:type="spellEnd"/>
                            <w:r w:rsidRPr="004E32C4">
                              <w:rPr>
                                <w:rFonts w:ascii="Arial" w:hAnsi="Arial" w:cs="Arial"/>
                                <w:sz w:val="18"/>
                                <w:szCs w:val="18"/>
                              </w:rPr>
                              <w:t>, Iraq. The study included 60 children with ASD diagnosed according to DSM</w:t>
                            </w:r>
                            <w:r w:rsidRPr="004E32C4">
                              <w:rPr>
                                <w:rFonts w:ascii="Arial" w:hAnsi="Arial" w:cs="Arial"/>
                                <w:sz w:val="18"/>
                                <w:szCs w:val="18"/>
                              </w:rPr>
                              <w:noBreakHyphen/>
                              <w:t>5 criteria and 60 age</w:t>
                            </w:r>
                            <w:r w:rsidRPr="004E32C4">
                              <w:rPr>
                                <w:rFonts w:ascii="Arial" w:hAnsi="Arial" w:cs="Arial"/>
                                <w:sz w:val="18"/>
                                <w:szCs w:val="18"/>
                              </w:rPr>
                              <w:noBreakHyphen/>
                              <w:t xml:space="preserve"> and sex</w:t>
                            </w:r>
                            <w:r w:rsidRPr="004E32C4">
                              <w:rPr>
                                <w:rFonts w:ascii="Arial" w:hAnsi="Arial" w:cs="Arial"/>
                                <w:sz w:val="18"/>
                                <w:szCs w:val="18"/>
                              </w:rPr>
                              <w:noBreakHyphen/>
                              <w:t>matched healthy controls. Serum anti</w:t>
                            </w:r>
                            <w:r w:rsidRPr="004E32C4">
                              <w:rPr>
                                <w:rFonts w:ascii="Arial" w:hAnsi="Arial" w:cs="Arial"/>
                                <w:sz w:val="18"/>
                                <w:szCs w:val="18"/>
                              </w:rPr>
                              <w:noBreakHyphen/>
                              <w:t>FOLR1 IgG, vitamin D3, folic acid and reduced glutathione were measured by ELISA and automated chemistry. ASD severity was categorised using the Childhood Autism Rating Scale (CARS). Comparisons between seropositive and seronegative ASD children were performed with Mann–Whitney U and chi</w:t>
                            </w:r>
                            <w:r w:rsidRPr="004E32C4">
                              <w:rPr>
                                <w:rFonts w:ascii="Arial" w:hAnsi="Arial" w:cs="Arial"/>
                                <w:sz w:val="18"/>
                                <w:szCs w:val="18"/>
                              </w:rPr>
                              <w:noBreakHyphen/>
                              <w:t>square tests.</w:t>
                            </w:r>
                          </w:p>
                          <w:p w14:paraId="0CFC265C"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Results:</w:t>
                            </w:r>
                            <w:r w:rsidRPr="004E32C4">
                              <w:rPr>
                                <w:rFonts w:ascii="Arial" w:hAnsi="Arial" w:cs="Arial"/>
                                <w:sz w:val="18"/>
                                <w:szCs w:val="18"/>
                              </w:rPr>
                              <w:t> Among the 60 ASD children, 46 (76.7%) were positive for anti</w:t>
                            </w:r>
                            <w:r w:rsidRPr="004E32C4">
                              <w:rPr>
                                <w:rFonts w:ascii="Arial" w:hAnsi="Arial" w:cs="Arial"/>
                                <w:sz w:val="18"/>
                                <w:szCs w:val="18"/>
                              </w:rPr>
                              <w:noBreakHyphen/>
                              <w:t xml:space="preserve">FOLR1 IgG. Compared with seronegative ASD children, seropositive children had significantly lower levels of vitamin D3 (median 13.74 vs 29.20 ng/mL, p=0.002), folic acid (median 9.94 vs 21.50 ng/mL, p=0.002) and reduced glutathione (median 0.83 vs 2.15 </w:t>
                            </w:r>
                            <w:proofErr w:type="spellStart"/>
                            <w:r w:rsidRPr="004E32C4">
                              <w:rPr>
                                <w:rFonts w:ascii="Arial" w:hAnsi="Arial" w:cs="Arial"/>
                                <w:sz w:val="18"/>
                                <w:szCs w:val="18"/>
                              </w:rPr>
                              <w:t>μmol</w:t>
                            </w:r>
                            <w:proofErr w:type="spellEnd"/>
                            <w:r w:rsidRPr="004E32C4">
                              <w:rPr>
                                <w:rFonts w:ascii="Arial" w:hAnsi="Arial" w:cs="Arial"/>
                                <w:sz w:val="18"/>
                                <w:szCs w:val="18"/>
                              </w:rPr>
                              <w:t>/L, p&lt;0.001). Anti</w:t>
                            </w:r>
                            <w:r w:rsidRPr="004E32C4">
                              <w:rPr>
                                <w:rFonts w:ascii="Arial" w:hAnsi="Arial" w:cs="Arial"/>
                                <w:sz w:val="18"/>
                                <w:szCs w:val="18"/>
                              </w:rPr>
                              <w:noBreakHyphen/>
                              <w:t>FOLR1 positivity was strongly associated with greater ASD severity (severe: 63.0% in seropositive vs 14.3% in seronegative, p=0.002).</w:t>
                            </w:r>
                          </w:p>
                          <w:p w14:paraId="40584594"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Conclusion:</w:t>
                            </w:r>
                            <w:r w:rsidRPr="004E32C4">
                              <w:rPr>
                                <w:rFonts w:ascii="Arial" w:hAnsi="Arial" w:cs="Arial"/>
                                <w:sz w:val="18"/>
                                <w:szCs w:val="18"/>
                              </w:rPr>
                              <w:t> The presence of FOLR1 autoantibodies in children with ASD is associated with marked depletion of vitamin D3, folic acid and glutathione, and with more severe clinical presentation. These findings support the existence of a distinct metabolic</w:t>
                            </w:r>
                            <w:r w:rsidRPr="004E32C4">
                              <w:rPr>
                                <w:rFonts w:ascii="Arial" w:hAnsi="Arial" w:cs="Arial"/>
                                <w:sz w:val="18"/>
                                <w:szCs w:val="18"/>
                              </w:rPr>
                              <w:noBreakHyphen/>
                              <w:t>immunological subtype of ASD that may benefit from targeted biomarker</w:t>
                            </w:r>
                            <w:r w:rsidRPr="004E32C4">
                              <w:rPr>
                                <w:rFonts w:ascii="Arial" w:hAnsi="Arial" w:cs="Arial"/>
                                <w:sz w:val="18"/>
                                <w:szCs w:val="18"/>
                              </w:rPr>
                              <w:noBreakHyphen/>
                              <w:t>guided interventions.</w:t>
                            </w:r>
                          </w:p>
                          <w:p w14:paraId="15721469" w14:textId="77777777" w:rsidR="004E32C4" w:rsidRPr="004E32C4" w:rsidRDefault="004E32C4" w:rsidP="004E32C4">
                            <w:pPr>
                              <w:spacing w:after="0" w:line="240" w:lineRule="auto"/>
                              <w:jc w:val="both"/>
                              <w:rPr>
                                <w:rFonts w:ascii="Arial" w:hAnsi="Arial" w:cs="Arial"/>
                                <w:sz w:val="18"/>
                                <w:szCs w:val="18"/>
                              </w:rPr>
                            </w:pPr>
                          </w:p>
                          <w:p w14:paraId="5485CB39" w14:textId="38F58456" w:rsidR="004E32C4" w:rsidRPr="004E32C4" w:rsidRDefault="004E32C4" w:rsidP="003A5721">
                            <w:pPr>
                              <w:spacing w:after="0" w:line="240" w:lineRule="auto"/>
                              <w:jc w:val="center"/>
                              <w:rPr>
                                <w:rFonts w:ascii="Arial" w:hAnsi="Arial" w:cs="Arial"/>
                                <w:sz w:val="18"/>
                                <w:szCs w:val="18"/>
                              </w:rPr>
                            </w:pPr>
                            <w:r w:rsidRPr="004E32C4">
                              <w:rPr>
                                <w:rFonts w:ascii="Arial" w:hAnsi="Arial" w:cs="Arial"/>
                                <w:b/>
                                <w:bCs/>
                                <w:sz w:val="18"/>
                                <w:szCs w:val="18"/>
                              </w:rPr>
                              <w:t>Keywords:</w:t>
                            </w:r>
                            <w:r w:rsidRPr="004E32C4">
                              <w:rPr>
                                <w:rFonts w:ascii="Arial" w:hAnsi="Arial" w:cs="Arial"/>
                                <w:sz w:val="18"/>
                                <w:szCs w:val="18"/>
                              </w:rPr>
                              <w:t> Autism spectrum disorder</w:t>
                            </w:r>
                            <w:r w:rsidR="00B37712">
                              <w:rPr>
                                <w:rFonts w:ascii="Arial" w:hAnsi="Arial" w:cs="Arial"/>
                                <w:sz w:val="18"/>
                                <w:szCs w:val="18"/>
                              </w:rPr>
                              <w:t>,</w:t>
                            </w:r>
                            <w:r w:rsidRPr="004E32C4">
                              <w:rPr>
                                <w:rFonts w:ascii="Arial" w:hAnsi="Arial" w:cs="Arial"/>
                                <w:sz w:val="18"/>
                                <w:szCs w:val="18"/>
                              </w:rPr>
                              <w:t xml:space="preserve"> folate receptor alpha</w:t>
                            </w:r>
                            <w:r w:rsidR="00B37712">
                              <w:rPr>
                                <w:rFonts w:ascii="Arial" w:hAnsi="Arial" w:cs="Arial"/>
                                <w:sz w:val="18"/>
                                <w:szCs w:val="18"/>
                              </w:rPr>
                              <w:t>,</w:t>
                            </w:r>
                            <w:r w:rsidRPr="004E32C4">
                              <w:rPr>
                                <w:rFonts w:ascii="Arial" w:hAnsi="Arial" w:cs="Arial"/>
                                <w:sz w:val="18"/>
                                <w:szCs w:val="18"/>
                              </w:rPr>
                              <w:t xml:space="preserve"> autoantibodies</w:t>
                            </w:r>
                            <w:r w:rsidR="00B37712">
                              <w:rPr>
                                <w:rFonts w:ascii="Arial" w:hAnsi="Arial" w:cs="Arial"/>
                                <w:sz w:val="18"/>
                                <w:szCs w:val="18"/>
                              </w:rPr>
                              <w:t>,</w:t>
                            </w:r>
                            <w:r w:rsidRPr="004E32C4">
                              <w:rPr>
                                <w:rFonts w:ascii="Arial" w:hAnsi="Arial" w:cs="Arial"/>
                                <w:sz w:val="18"/>
                                <w:szCs w:val="18"/>
                              </w:rPr>
                              <w:t xml:space="preserve"> vitamin D</w:t>
                            </w:r>
                            <w:r w:rsidR="00B37712">
                              <w:rPr>
                                <w:rFonts w:ascii="Arial" w:hAnsi="Arial" w:cs="Arial"/>
                                <w:sz w:val="18"/>
                                <w:szCs w:val="18"/>
                              </w:rPr>
                              <w:t>,</w:t>
                            </w:r>
                            <w:r w:rsidRPr="004E32C4">
                              <w:rPr>
                                <w:rFonts w:ascii="Arial" w:hAnsi="Arial" w:cs="Arial"/>
                                <w:sz w:val="18"/>
                                <w:szCs w:val="18"/>
                              </w:rPr>
                              <w:t xml:space="preserve"> glutathione</w:t>
                            </w:r>
                          </w:p>
                          <w:p w14:paraId="502AE2C6" w14:textId="77777777" w:rsidR="004E32C4" w:rsidRDefault="004E32C4" w:rsidP="004E32C4">
                            <w:pPr>
                              <w:spacing w:after="0" w:line="240" w:lineRule="auto"/>
                              <w:jc w:val="both"/>
                              <w:rPr>
                                <w:rFonts w:ascii="Arial" w:hAnsi="Arial" w:cs="Arial"/>
                                <w:b/>
                                <w:sz w:val="18"/>
                                <w:szCs w:val="18"/>
                              </w:rPr>
                            </w:pPr>
                          </w:p>
                          <w:p w14:paraId="6D46B37F" w14:textId="77777777" w:rsidR="004E32C4" w:rsidRPr="00122E71" w:rsidRDefault="004E32C4" w:rsidP="004E32C4">
                            <w:pPr>
                              <w:spacing w:after="0" w:line="240" w:lineRule="auto"/>
                              <w:jc w:val="both"/>
                              <w:rPr>
                                <w:rFonts w:ascii="Arial" w:hAnsi="Arial" w:cs="Arial"/>
                                <w:bCs/>
                                <w:sz w:val="18"/>
                                <w:szCs w:val="18"/>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539E25" id="Rectangle 17" o:spid="_x0000_s1026" style="position:absolute;margin-left:398.8pt;margin-top:11.3pt;width:450pt;height:226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" fillcolor="#5b9bd5" strokecolor="#41719c" strokeweight="1pt">
                <v:textbox>
                  <w:txbxContent>
                    <w:p w14:paraId="3BE0B6E5" w14:textId="77777777" w:rsidR="004E32C4" w:rsidRDefault="004E32C4" w:rsidP="004E32C4">
                      <w:pPr>
                        <w:spacing w:after="0" w:line="240" w:lineRule="auto"/>
                        <w:jc w:val="both"/>
                        <w:rPr>
                          <w:rFonts w:ascii="Arial" w:hAnsi="Arial" w:cs="Arial"/>
                          <w:b/>
                          <w:sz w:val="18"/>
                          <w:szCs w:val="18"/>
                        </w:rPr>
                      </w:pPr>
                      <w:r w:rsidRPr="001239BE">
                        <w:rPr>
                          <w:rFonts w:ascii="Arial" w:hAnsi="Arial" w:cs="Arial"/>
                          <w:b/>
                          <w:sz w:val="18"/>
                          <w:szCs w:val="18"/>
                        </w:rPr>
                        <w:t>Abstract</w:t>
                      </w:r>
                    </w:p>
                    <w:p w14:paraId="475D59EF"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Objective:</w:t>
                      </w:r>
                      <w:r w:rsidRPr="004E32C4">
                        <w:rPr>
                          <w:rFonts w:ascii="Arial" w:hAnsi="Arial" w:cs="Arial"/>
                          <w:sz w:val="18"/>
                          <w:szCs w:val="18"/>
                        </w:rPr>
                        <w:t> To assess serum levels of vitamin D3, folic acid and reduced glutathione in children with autism spectrum disorder (ASD) in relation to the presence of folate receptor alpha (FOLR1) autoantibodies, and to explore associations with ASD severity.</w:t>
                      </w:r>
                    </w:p>
                    <w:p w14:paraId="634FF1CD"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Methods:</w:t>
                      </w:r>
                      <w:r w:rsidRPr="004E32C4">
                        <w:rPr>
                          <w:rFonts w:ascii="Arial" w:hAnsi="Arial" w:cs="Arial"/>
                          <w:sz w:val="18"/>
                          <w:szCs w:val="18"/>
                        </w:rPr>
                        <w:t> A case</w:t>
                      </w:r>
                      <w:r w:rsidRPr="004E32C4">
                        <w:rPr>
                          <w:rFonts w:ascii="Arial" w:hAnsi="Arial" w:cs="Arial"/>
                          <w:sz w:val="18"/>
                          <w:szCs w:val="18"/>
                        </w:rPr>
                        <w:noBreakHyphen/>
                        <w:t xml:space="preserve">control study was conducted between October 2025 and January 2026 at the QAR Autism Rehabilitation Centre and </w:t>
                      </w:r>
                      <w:proofErr w:type="spellStart"/>
                      <w:r w:rsidRPr="004E32C4">
                        <w:rPr>
                          <w:rFonts w:ascii="Arial" w:hAnsi="Arial" w:cs="Arial"/>
                          <w:sz w:val="18"/>
                          <w:szCs w:val="18"/>
                        </w:rPr>
                        <w:t>Alshatra</w:t>
                      </w:r>
                      <w:proofErr w:type="spellEnd"/>
                      <w:r w:rsidRPr="004E32C4">
                        <w:rPr>
                          <w:rFonts w:ascii="Arial" w:hAnsi="Arial" w:cs="Arial"/>
                          <w:sz w:val="18"/>
                          <w:szCs w:val="18"/>
                        </w:rPr>
                        <w:t xml:space="preserve"> General Hospital in </w:t>
                      </w:r>
                      <w:proofErr w:type="spellStart"/>
                      <w:r w:rsidRPr="004E32C4">
                        <w:rPr>
                          <w:rFonts w:ascii="Arial" w:hAnsi="Arial" w:cs="Arial"/>
                          <w:sz w:val="18"/>
                          <w:szCs w:val="18"/>
                        </w:rPr>
                        <w:t>Thi</w:t>
                      </w:r>
                      <w:proofErr w:type="spellEnd"/>
                      <w:r w:rsidRPr="004E32C4">
                        <w:rPr>
                          <w:rFonts w:ascii="Arial" w:hAnsi="Arial" w:cs="Arial"/>
                          <w:sz w:val="18"/>
                          <w:szCs w:val="18"/>
                        </w:rPr>
                        <w:t xml:space="preserve"> </w:t>
                      </w:r>
                      <w:proofErr w:type="spellStart"/>
                      <w:r w:rsidRPr="004E32C4">
                        <w:rPr>
                          <w:rFonts w:ascii="Arial" w:hAnsi="Arial" w:cs="Arial"/>
                          <w:sz w:val="18"/>
                          <w:szCs w:val="18"/>
                        </w:rPr>
                        <w:t>Qar</w:t>
                      </w:r>
                      <w:proofErr w:type="spellEnd"/>
                      <w:r w:rsidRPr="004E32C4">
                        <w:rPr>
                          <w:rFonts w:ascii="Arial" w:hAnsi="Arial" w:cs="Arial"/>
                          <w:sz w:val="18"/>
                          <w:szCs w:val="18"/>
                        </w:rPr>
                        <w:t>, Iraq. The study included 60 children with ASD diagnosed according to DSM</w:t>
                      </w:r>
                      <w:r w:rsidRPr="004E32C4">
                        <w:rPr>
                          <w:rFonts w:ascii="Arial" w:hAnsi="Arial" w:cs="Arial"/>
                          <w:sz w:val="18"/>
                          <w:szCs w:val="18"/>
                        </w:rPr>
                        <w:noBreakHyphen/>
                        <w:t>5 criteria and 60 age</w:t>
                      </w:r>
                      <w:r w:rsidRPr="004E32C4">
                        <w:rPr>
                          <w:rFonts w:ascii="Arial" w:hAnsi="Arial" w:cs="Arial"/>
                          <w:sz w:val="18"/>
                          <w:szCs w:val="18"/>
                        </w:rPr>
                        <w:noBreakHyphen/>
                        <w:t xml:space="preserve"> and sex</w:t>
                      </w:r>
                      <w:r w:rsidRPr="004E32C4">
                        <w:rPr>
                          <w:rFonts w:ascii="Arial" w:hAnsi="Arial" w:cs="Arial"/>
                          <w:sz w:val="18"/>
                          <w:szCs w:val="18"/>
                        </w:rPr>
                        <w:noBreakHyphen/>
                        <w:t>matched healthy controls. Serum anti</w:t>
                      </w:r>
                      <w:r w:rsidRPr="004E32C4">
                        <w:rPr>
                          <w:rFonts w:ascii="Arial" w:hAnsi="Arial" w:cs="Arial"/>
                          <w:sz w:val="18"/>
                          <w:szCs w:val="18"/>
                        </w:rPr>
                        <w:noBreakHyphen/>
                        <w:t>FOLR1 IgG, vitamin D3, folic acid and reduced glutathione were measured by ELISA and automated chemistry. ASD severity was categorised using the Childhood Autism Rating Scale (CARS). Comparisons between seropositive and seronegative ASD children were performed with Mann–Whitney U and chi</w:t>
                      </w:r>
                      <w:r w:rsidRPr="004E32C4">
                        <w:rPr>
                          <w:rFonts w:ascii="Arial" w:hAnsi="Arial" w:cs="Arial"/>
                          <w:sz w:val="18"/>
                          <w:szCs w:val="18"/>
                        </w:rPr>
                        <w:noBreakHyphen/>
                        <w:t>square tests.</w:t>
                      </w:r>
                    </w:p>
                    <w:p w14:paraId="0CFC265C"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Results:</w:t>
                      </w:r>
                      <w:r w:rsidRPr="004E32C4">
                        <w:rPr>
                          <w:rFonts w:ascii="Arial" w:hAnsi="Arial" w:cs="Arial"/>
                          <w:sz w:val="18"/>
                          <w:szCs w:val="18"/>
                        </w:rPr>
                        <w:t> Among the 60 ASD children, 46 (76.7%) were positive for anti</w:t>
                      </w:r>
                      <w:r w:rsidRPr="004E32C4">
                        <w:rPr>
                          <w:rFonts w:ascii="Arial" w:hAnsi="Arial" w:cs="Arial"/>
                          <w:sz w:val="18"/>
                          <w:szCs w:val="18"/>
                        </w:rPr>
                        <w:noBreakHyphen/>
                        <w:t xml:space="preserve">FOLR1 IgG. Compared with seronegative ASD children, seropositive children had significantly lower levels of vitamin D3 (median 13.74 vs 29.20 ng/mL, p=0.002), folic acid (median 9.94 vs 21.50 ng/mL, p=0.002) and reduced glutathione (median 0.83 vs 2.15 </w:t>
                      </w:r>
                      <w:proofErr w:type="spellStart"/>
                      <w:r w:rsidRPr="004E32C4">
                        <w:rPr>
                          <w:rFonts w:ascii="Arial" w:hAnsi="Arial" w:cs="Arial"/>
                          <w:sz w:val="18"/>
                          <w:szCs w:val="18"/>
                        </w:rPr>
                        <w:t>μmol</w:t>
                      </w:r>
                      <w:proofErr w:type="spellEnd"/>
                      <w:r w:rsidRPr="004E32C4">
                        <w:rPr>
                          <w:rFonts w:ascii="Arial" w:hAnsi="Arial" w:cs="Arial"/>
                          <w:sz w:val="18"/>
                          <w:szCs w:val="18"/>
                        </w:rPr>
                        <w:t>/L, p&lt;0.001). Anti</w:t>
                      </w:r>
                      <w:r w:rsidRPr="004E32C4">
                        <w:rPr>
                          <w:rFonts w:ascii="Arial" w:hAnsi="Arial" w:cs="Arial"/>
                          <w:sz w:val="18"/>
                          <w:szCs w:val="18"/>
                        </w:rPr>
                        <w:noBreakHyphen/>
                        <w:t>FOLR1 positivity was strongly associated with greater ASD severity (severe: 63.0% in seropositive vs 14.3% in seronegative, p=0.002).</w:t>
                      </w:r>
                    </w:p>
                    <w:p w14:paraId="40584594" w14:textId="77777777" w:rsidR="004E32C4" w:rsidRPr="004E32C4" w:rsidRDefault="004E32C4" w:rsidP="004E32C4">
                      <w:pPr>
                        <w:spacing w:after="0" w:line="240" w:lineRule="auto"/>
                        <w:jc w:val="both"/>
                        <w:rPr>
                          <w:rFonts w:ascii="Arial" w:hAnsi="Arial" w:cs="Arial"/>
                          <w:sz w:val="18"/>
                          <w:szCs w:val="18"/>
                        </w:rPr>
                      </w:pPr>
                      <w:r w:rsidRPr="004E32C4">
                        <w:rPr>
                          <w:rFonts w:ascii="Arial" w:hAnsi="Arial" w:cs="Arial"/>
                          <w:b/>
                          <w:bCs/>
                          <w:sz w:val="18"/>
                          <w:szCs w:val="18"/>
                        </w:rPr>
                        <w:t>Conclusion:</w:t>
                      </w:r>
                      <w:r w:rsidRPr="004E32C4">
                        <w:rPr>
                          <w:rFonts w:ascii="Arial" w:hAnsi="Arial" w:cs="Arial"/>
                          <w:sz w:val="18"/>
                          <w:szCs w:val="18"/>
                        </w:rPr>
                        <w:t> The presence of FOLR1 autoantibodies in children with ASD is associated with marked depletion of vitamin D3, folic acid and glutathione, and with more severe clinical presentation. These findings support the existence of a distinct metabolic</w:t>
                      </w:r>
                      <w:r w:rsidRPr="004E32C4">
                        <w:rPr>
                          <w:rFonts w:ascii="Arial" w:hAnsi="Arial" w:cs="Arial"/>
                          <w:sz w:val="18"/>
                          <w:szCs w:val="18"/>
                        </w:rPr>
                        <w:noBreakHyphen/>
                        <w:t>immunological subtype of ASD that may benefit from targeted biomarker</w:t>
                      </w:r>
                      <w:r w:rsidRPr="004E32C4">
                        <w:rPr>
                          <w:rFonts w:ascii="Arial" w:hAnsi="Arial" w:cs="Arial"/>
                          <w:sz w:val="18"/>
                          <w:szCs w:val="18"/>
                        </w:rPr>
                        <w:noBreakHyphen/>
                        <w:t>guided interventions.</w:t>
                      </w:r>
                    </w:p>
                    <w:p w14:paraId="15721469" w14:textId="77777777" w:rsidR="004E32C4" w:rsidRPr="004E32C4" w:rsidRDefault="004E32C4" w:rsidP="004E32C4">
                      <w:pPr>
                        <w:spacing w:after="0" w:line="240" w:lineRule="auto"/>
                        <w:jc w:val="both"/>
                        <w:rPr>
                          <w:rFonts w:ascii="Arial" w:hAnsi="Arial" w:cs="Arial"/>
                          <w:sz w:val="18"/>
                          <w:szCs w:val="18"/>
                        </w:rPr>
                      </w:pPr>
                    </w:p>
                    <w:p w14:paraId="5485CB39" w14:textId="38F58456" w:rsidR="004E32C4" w:rsidRPr="004E32C4" w:rsidRDefault="004E32C4" w:rsidP="003A5721">
                      <w:pPr>
                        <w:spacing w:after="0" w:line="240" w:lineRule="auto"/>
                        <w:jc w:val="center"/>
                        <w:rPr>
                          <w:rFonts w:ascii="Arial" w:hAnsi="Arial" w:cs="Arial"/>
                          <w:sz w:val="18"/>
                          <w:szCs w:val="18"/>
                        </w:rPr>
                      </w:pPr>
                      <w:r w:rsidRPr="004E32C4">
                        <w:rPr>
                          <w:rFonts w:ascii="Arial" w:hAnsi="Arial" w:cs="Arial"/>
                          <w:b/>
                          <w:bCs/>
                          <w:sz w:val="18"/>
                          <w:szCs w:val="18"/>
                        </w:rPr>
                        <w:t>Keywords:</w:t>
                      </w:r>
                      <w:r w:rsidRPr="004E32C4">
                        <w:rPr>
                          <w:rFonts w:ascii="Arial" w:hAnsi="Arial" w:cs="Arial"/>
                          <w:sz w:val="18"/>
                          <w:szCs w:val="18"/>
                        </w:rPr>
                        <w:t> Autism spectrum disorder</w:t>
                      </w:r>
                      <w:r w:rsidR="00B37712">
                        <w:rPr>
                          <w:rFonts w:ascii="Arial" w:hAnsi="Arial" w:cs="Arial"/>
                          <w:sz w:val="18"/>
                          <w:szCs w:val="18"/>
                        </w:rPr>
                        <w:t>,</w:t>
                      </w:r>
                      <w:r w:rsidRPr="004E32C4">
                        <w:rPr>
                          <w:rFonts w:ascii="Arial" w:hAnsi="Arial" w:cs="Arial"/>
                          <w:sz w:val="18"/>
                          <w:szCs w:val="18"/>
                        </w:rPr>
                        <w:t xml:space="preserve"> folate receptor alpha</w:t>
                      </w:r>
                      <w:r w:rsidR="00B37712">
                        <w:rPr>
                          <w:rFonts w:ascii="Arial" w:hAnsi="Arial" w:cs="Arial"/>
                          <w:sz w:val="18"/>
                          <w:szCs w:val="18"/>
                        </w:rPr>
                        <w:t>,</w:t>
                      </w:r>
                      <w:r w:rsidRPr="004E32C4">
                        <w:rPr>
                          <w:rFonts w:ascii="Arial" w:hAnsi="Arial" w:cs="Arial"/>
                          <w:sz w:val="18"/>
                          <w:szCs w:val="18"/>
                        </w:rPr>
                        <w:t xml:space="preserve"> autoantibodies</w:t>
                      </w:r>
                      <w:r w:rsidR="00B37712">
                        <w:rPr>
                          <w:rFonts w:ascii="Arial" w:hAnsi="Arial" w:cs="Arial"/>
                          <w:sz w:val="18"/>
                          <w:szCs w:val="18"/>
                        </w:rPr>
                        <w:t>,</w:t>
                      </w:r>
                      <w:r w:rsidRPr="004E32C4">
                        <w:rPr>
                          <w:rFonts w:ascii="Arial" w:hAnsi="Arial" w:cs="Arial"/>
                          <w:sz w:val="18"/>
                          <w:szCs w:val="18"/>
                        </w:rPr>
                        <w:t xml:space="preserve"> vitamin D</w:t>
                      </w:r>
                      <w:r w:rsidR="00B37712">
                        <w:rPr>
                          <w:rFonts w:ascii="Arial" w:hAnsi="Arial" w:cs="Arial"/>
                          <w:sz w:val="18"/>
                          <w:szCs w:val="18"/>
                        </w:rPr>
                        <w:t>,</w:t>
                      </w:r>
                      <w:r w:rsidRPr="004E32C4">
                        <w:rPr>
                          <w:rFonts w:ascii="Arial" w:hAnsi="Arial" w:cs="Arial"/>
                          <w:sz w:val="18"/>
                          <w:szCs w:val="18"/>
                        </w:rPr>
                        <w:t xml:space="preserve"> glutathione</w:t>
                      </w:r>
                    </w:p>
                    <w:p w14:paraId="502AE2C6" w14:textId="77777777" w:rsidR="004E32C4" w:rsidRDefault="004E32C4" w:rsidP="004E32C4">
                      <w:pPr>
                        <w:spacing w:after="0" w:line="240" w:lineRule="auto"/>
                        <w:jc w:val="both"/>
                        <w:rPr>
                          <w:rFonts w:ascii="Arial" w:hAnsi="Arial" w:cs="Arial"/>
                          <w:b/>
                          <w:sz w:val="18"/>
                          <w:szCs w:val="18"/>
                        </w:rPr>
                      </w:pPr>
                    </w:p>
                    <w:p w14:paraId="6D46B37F" w14:textId="77777777" w:rsidR="004E32C4" w:rsidRPr="00122E71" w:rsidRDefault="004E32C4" w:rsidP="004E32C4">
                      <w:pPr>
                        <w:spacing w:after="0" w:line="240" w:lineRule="auto"/>
                        <w:jc w:val="both"/>
                        <w:rPr>
                          <w:rFonts w:ascii="Arial" w:hAnsi="Arial" w:cs="Arial"/>
                          <w:bCs/>
                          <w:sz w:val="18"/>
                          <w:szCs w:val="18"/>
                        </w:rPr>
                      </w:pPr>
                    </w:p>
                  </w:txbxContent>
                </v:textbox>
                <w10:wrap anchorx="margin"/>
              </v:rect>
            </w:pict>
          </mc:Fallback>
        </mc:AlternateContent>
      </w:r>
    </w:p>
    <w:p w14:paraId="2F823EBB" w14:textId="01194CE3"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3FD01DFE"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6CCBA056"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69AB7B71"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39483ECD"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000F69A8"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5AB59E6A"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6D23CECA"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35217FB6"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1D58063E"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3953CAA0"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031AFE8E"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5FF984A7"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24964FDE"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71A98AC3"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1AE93D32"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468C3B85"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41A5D594"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0B37F832"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1A2CA5DB" w14:textId="77777777" w:rsidR="00187190" w:rsidRDefault="00187190" w:rsidP="00847404">
      <w:pPr>
        <w:shd w:val="clear" w:color="auto" w:fill="FFFFFF"/>
        <w:spacing w:after="0" w:line="240" w:lineRule="auto"/>
        <w:rPr>
          <w:rFonts w:ascii="Arial" w:eastAsia="Times New Roman" w:hAnsi="Arial" w:cs="Arial"/>
          <w:color w:val="0F1115"/>
          <w:kern w:val="0"/>
          <w:sz w:val="20"/>
          <w:szCs w:val="20"/>
          <w:lang w:eastAsia="en-GB"/>
          <w14:ligatures w14:val="none"/>
        </w:rPr>
      </w:pPr>
    </w:p>
    <w:p w14:paraId="75E64173" w14:textId="5D07CD05" w:rsidR="00B77644" w:rsidRPr="00062B53" w:rsidRDefault="00B77644" w:rsidP="004E32C4">
      <w:pPr>
        <w:shd w:val="clear" w:color="auto" w:fill="FFFFFF"/>
        <w:spacing w:after="0" w:line="240" w:lineRule="auto"/>
        <w:jc w:val="both"/>
        <w:rPr>
          <w:rFonts w:ascii="Arial" w:eastAsia="Times New Roman" w:hAnsi="Arial" w:cs="Arial"/>
          <w:kern w:val="0"/>
          <w:sz w:val="20"/>
          <w:szCs w:val="20"/>
          <w:lang w:eastAsia="en-GB"/>
          <w14:ligatures w14:val="none"/>
        </w:rPr>
      </w:pPr>
    </w:p>
    <w:p w14:paraId="1D69C62D"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Plain English Summary</w:t>
      </w:r>
    </w:p>
    <w:p w14:paraId="7DE46750"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Autism spectrum disorder (ASD) affects how children communicate, interact and behave. Some children with ASD have a condition called cerebral folate deficiency, where the brain does not receive enough folate (a B vitamin) because the body produces antibodies that block the folate transport system. This study examined whether these antibodies are linked to low levels of vitamin D, folic acid and an important antioxidant called glutathione. We studied 60 children with ASD and 60 healthy children in </w:t>
      </w:r>
      <w:proofErr w:type="spellStart"/>
      <w:r w:rsidRPr="00062B53">
        <w:rPr>
          <w:rFonts w:ascii="Arial" w:eastAsia="Times New Roman" w:hAnsi="Arial" w:cs="Arial"/>
          <w:color w:val="0F1115"/>
          <w:kern w:val="0"/>
          <w:sz w:val="20"/>
          <w:szCs w:val="20"/>
          <w:lang w:eastAsia="en-GB"/>
          <w14:ligatures w14:val="none"/>
        </w:rPr>
        <w:t>Thi</w:t>
      </w:r>
      <w:proofErr w:type="spellEnd"/>
      <w:r w:rsidRPr="00062B53">
        <w:rPr>
          <w:rFonts w:ascii="Arial" w:eastAsia="Times New Roman" w:hAnsi="Arial" w:cs="Arial"/>
          <w:color w:val="0F1115"/>
          <w:kern w:val="0"/>
          <w:sz w:val="20"/>
          <w:szCs w:val="20"/>
          <w:lang w:eastAsia="en-GB"/>
          <w14:ligatures w14:val="none"/>
        </w:rPr>
        <w:t xml:space="preserve"> </w:t>
      </w:r>
      <w:proofErr w:type="spellStart"/>
      <w:r w:rsidRPr="00062B53">
        <w:rPr>
          <w:rFonts w:ascii="Arial" w:eastAsia="Times New Roman" w:hAnsi="Arial" w:cs="Arial"/>
          <w:color w:val="0F1115"/>
          <w:kern w:val="0"/>
          <w:sz w:val="20"/>
          <w:szCs w:val="20"/>
          <w:lang w:eastAsia="en-GB"/>
          <w14:ligatures w14:val="none"/>
        </w:rPr>
        <w:t>Qar</w:t>
      </w:r>
      <w:proofErr w:type="spellEnd"/>
      <w:r w:rsidRPr="00062B53">
        <w:rPr>
          <w:rFonts w:ascii="Arial" w:eastAsia="Times New Roman" w:hAnsi="Arial" w:cs="Arial"/>
          <w:color w:val="0F1115"/>
          <w:kern w:val="0"/>
          <w:sz w:val="20"/>
          <w:szCs w:val="20"/>
          <w:lang w:eastAsia="en-GB"/>
          <w14:ligatures w14:val="none"/>
        </w:rPr>
        <w:t xml:space="preserve">, Iraq. Among the children with ASD, nearly 77% had these blocking antibodies. Those with the antibodies had much lower levels of vitamin D, folic acid and glutathione compared to ASD children without the antibodies. They also had more severe autism symptoms. These findings suggest that testing for these antibodies could help identify a specific group of children with ASD who </w:t>
      </w:r>
      <w:r w:rsidRPr="00062B53">
        <w:rPr>
          <w:rFonts w:ascii="Arial" w:eastAsia="Times New Roman" w:hAnsi="Arial" w:cs="Arial"/>
          <w:color w:val="0F1115"/>
          <w:kern w:val="0"/>
          <w:sz w:val="20"/>
          <w:szCs w:val="20"/>
          <w:lang w:eastAsia="en-GB"/>
          <w14:ligatures w14:val="none"/>
        </w:rPr>
        <w:lastRenderedPageBreak/>
        <w:t>might benefit from high</w:t>
      </w:r>
      <w:r w:rsidRPr="00062B53">
        <w:rPr>
          <w:rFonts w:ascii="Arial" w:eastAsia="Times New Roman" w:hAnsi="Arial" w:cs="Arial"/>
          <w:color w:val="0F1115"/>
          <w:kern w:val="0"/>
          <w:sz w:val="20"/>
          <w:szCs w:val="20"/>
          <w:lang w:eastAsia="en-GB"/>
          <w14:ligatures w14:val="none"/>
        </w:rPr>
        <w:noBreakHyphen/>
        <w:t>dose folate, vitamin D or antioxidant treatments. However, more research is needed to confirm whether such treatments are effective.</w:t>
      </w:r>
    </w:p>
    <w:p w14:paraId="3E5C6664" w14:textId="2139ECB6" w:rsidR="00B77644" w:rsidRPr="00062B53" w:rsidRDefault="00B77644" w:rsidP="00847404">
      <w:pPr>
        <w:spacing w:after="0" w:line="240" w:lineRule="auto"/>
        <w:jc w:val="both"/>
        <w:rPr>
          <w:rFonts w:ascii="Arial" w:eastAsia="Times New Roman" w:hAnsi="Arial" w:cs="Arial"/>
          <w:kern w:val="0"/>
          <w:sz w:val="20"/>
          <w:szCs w:val="20"/>
          <w:lang w:eastAsia="en-GB"/>
          <w14:ligatures w14:val="none"/>
        </w:rPr>
      </w:pPr>
    </w:p>
    <w:p w14:paraId="2C170F0E" w14:textId="77777777" w:rsidR="004315AF" w:rsidRDefault="004315AF"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4315AF" w:rsidSect="00D54987">
          <w:headerReference w:type="default" r:id="rId9"/>
          <w:footerReference w:type="default" r:id="rId10"/>
          <w:headerReference w:type="first" r:id="rId11"/>
          <w:footerReference w:type="first" r:id="rId12"/>
          <w:pgSz w:w="11906" w:h="16838"/>
          <w:pgMar w:top="1440" w:right="1440" w:bottom="1440" w:left="1440" w:header="720" w:footer="720" w:gutter="0"/>
          <w:pgNumType w:start="11"/>
          <w:cols w:space="720"/>
          <w:titlePg/>
          <w:docGrid w:linePitch="360"/>
        </w:sectPr>
      </w:pPr>
    </w:p>
    <w:p w14:paraId="79D0EDC1"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Introduction</w:t>
      </w:r>
    </w:p>
    <w:p w14:paraId="5F3E06BD" w14:textId="2D7F8FAA"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Autism spectrum disorder is a neurodevelopmental condition that typically emerges before age three and is characterised by persistent deficits in social communication and interaction, as well as restricted, repetitive patterns of behaviour, interests or activities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_Ref229650224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w:t>
      </w:r>
      <w:r w:rsidR="00D20AB0">
        <w:rPr>
          <w:rFonts w:ascii="Arial" w:eastAsia="Times New Roman" w:hAnsi="Arial" w:cs="Arial"/>
          <w:color w:val="0000FF"/>
          <w:kern w:val="0"/>
          <w:sz w:val="20"/>
          <w:szCs w:val="20"/>
          <w:lang w:eastAsia="en-GB"/>
          <w14:ligatures w14:val="none"/>
        </w:rPr>
        <w:fldChar w:fldCharType="end"/>
      </w:r>
      <w:r w:rsidRPr="003A5721">
        <w:rPr>
          <w:rFonts w:ascii="Arial" w:eastAsia="Times New Roman" w:hAnsi="Arial" w:cs="Arial"/>
          <w:color w:val="0000FF"/>
          <w:kern w:val="0"/>
          <w:sz w:val="20"/>
          <w:szCs w:val="20"/>
          <w:lang w:eastAsia="en-GB"/>
          <w14:ligatures w14:val="none"/>
        </w:rPr>
        <w:t>,</w:t>
      </w:r>
      <w:r w:rsidR="003A5721" w:rsidRPr="003A5721">
        <w:rPr>
          <w:rFonts w:ascii="Arial" w:eastAsia="Times New Roman" w:hAnsi="Arial" w:cs="Arial"/>
          <w:color w:val="0000FF"/>
          <w:kern w:val="0"/>
          <w:sz w:val="20"/>
          <w:szCs w:val="20"/>
          <w:lang w:eastAsia="en-GB"/>
          <w14:ligatures w14:val="none"/>
        </w:rPr>
        <w:t xml:space="preserve"> </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_Ref229650231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2</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xml:space="preserve">. The global prevalence of ASD has risen substantially, with recent estimates indicating that approximately one in 100 children worldwide is affected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_Ref229650237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3</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In Iraq, as in many low</w:t>
      </w:r>
      <w:r w:rsidRPr="00062B53">
        <w:rPr>
          <w:rFonts w:ascii="Arial" w:eastAsia="Times New Roman" w:hAnsi="Arial" w:cs="Arial"/>
          <w:color w:val="0F1115"/>
          <w:kern w:val="0"/>
          <w:sz w:val="20"/>
          <w:szCs w:val="20"/>
          <w:lang w:eastAsia="en-GB"/>
          <w14:ligatures w14:val="none"/>
        </w:rPr>
        <w:noBreakHyphen/>
        <w:t xml:space="preserve"> and middle</w:t>
      </w:r>
      <w:r w:rsidRPr="00062B53">
        <w:rPr>
          <w:rFonts w:ascii="Arial" w:eastAsia="Times New Roman" w:hAnsi="Arial" w:cs="Arial"/>
          <w:color w:val="0F1115"/>
          <w:kern w:val="0"/>
          <w:sz w:val="20"/>
          <w:szCs w:val="20"/>
          <w:lang w:eastAsia="en-GB"/>
          <w14:ligatures w14:val="none"/>
        </w:rPr>
        <w:noBreakHyphen/>
        <w:t>income countries, epidemiological data remain limited, but clinical observations suggest a rising number of diagnosed cases.</w:t>
      </w:r>
    </w:p>
    <w:p w14:paraId="699563CA" w14:textId="36A0A9DE"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The aetiology of ASD is multifactorial, involving complex interactions between genetic susceptibility and environmental factors. Among the many proposed biological mechanisms, disturbances in folate metabolism have received considerable attention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_Ref229650244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4</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Folate (vitamin B9) is essential for DNA synthesis, methylation reactions and neurotransmitter production. Its active form, 5</w:t>
      </w:r>
      <w:r w:rsidRPr="00062B53">
        <w:rPr>
          <w:rFonts w:ascii="Arial" w:eastAsia="Times New Roman" w:hAnsi="Arial" w:cs="Arial"/>
          <w:color w:val="0F1115"/>
          <w:kern w:val="0"/>
          <w:sz w:val="20"/>
          <w:szCs w:val="20"/>
          <w:lang w:eastAsia="en-GB"/>
          <w14:ligatures w14:val="none"/>
        </w:rPr>
        <w:noBreakHyphen/>
        <w:t>methyltetrahydrofolate (5</w:t>
      </w:r>
      <w:r w:rsidRPr="00062B53">
        <w:rPr>
          <w:rFonts w:ascii="Arial" w:eastAsia="Times New Roman" w:hAnsi="Arial" w:cs="Arial"/>
          <w:color w:val="0F1115"/>
          <w:kern w:val="0"/>
          <w:sz w:val="20"/>
          <w:szCs w:val="20"/>
          <w:lang w:eastAsia="en-GB"/>
          <w14:ligatures w14:val="none"/>
        </w:rPr>
        <w:noBreakHyphen/>
        <w:t xml:space="preserve">MTHF), is transported into the brain by the folate receptor alpha (FRα, encoded by the FOLR1 gene). When this transport is impaired – for example, by autoantibodies that block the receptor – cerebral folate deficiency (CFD) develops, even when peripheral folate levels are normal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_Ref229650253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5</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w:t>
      </w:r>
    </w:p>
    <w:p w14:paraId="23222223" w14:textId="47D10742"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CFD has been consistently associated with ASD. Autoantibodies against FRα are detected in approximately 70% of children with ASD and account for up to 83% of CFD cases in this population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_Ref229650253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5</w:t>
      </w:r>
      <w:r w:rsidR="00D20AB0">
        <w:rPr>
          <w:rFonts w:ascii="Arial" w:eastAsia="Times New Roman" w:hAnsi="Arial" w:cs="Arial"/>
          <w:color w:val="0000FF"/>
          <w:kern w:val="0"/>
          <w:sz w:val="20"/>
          <w:szCs w:val="20"/>
          <w:lang w:eastAsia="en-GB"/>
          <w14:ligatures w14:val="none"/>
        </w:rPr>
        <w:fldChar w:fldCharType="end"/>
      </w:r>
      <w:r w:rsidRPr="003A5721">
        <w:rPr>
          <w:rFonts w:ascii="Arial" w:eastAsia="Times New Roman" w:hAnsi="Arial" w:cs="Arial"/>
          <w:color w:val="0000FF"/>
          <w:kern w:val="0"/>
          <w:sz w:val="20"/>
          <w:szCs w:val="20"/>
          <w:lang w:eastAsia="en-GB"/>
          <w14:ligatures w14:val="none"/>
        </w:rPr>
        <w:t>,</w:t>
      </w:r>
      <w:r w:rsidR="003A5721" w:rsidRPr="003A5721">
        <w:rPr>
          <w:rFonts w:ascii="Arial" w:eastAsia="Times New Roman" w:hAnsi="Arial" w:cs="Arial"/>
          <w:color w:val="0000FF"/>
          <w:kern w:val="0"/>
          <w:sz w:val="20"/>
          <w:szCs w:val="20"/>
          <w:lang w:eastAsia="en-GB"/>
          <w14:ligatures w14:val="none"/>
        </w:rPr>
        <w:t xml:space="preserve"> </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_Ref229650267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6</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Children with these autoantibodies often present with a regressive form of autism, language delay and movement disorders, and some respond favourably to high</w:t>
      </w:r>
      <w:r w:rsidRPr="00062B53">
        <w:rPr>
          <w:rFonts w:ascii="Arial" w:eastAsia="Times New Roman" w:hAnsi="Arial" w:cs="Arial"/>
          <w:color w:val="0F1115"/>
          <w:kern w:val="0"/>
          <w:sz w:val="20"/>
          <w:szCs w:val="20"/>
          <w:lang w:eastAsia="en-GB"/>
          <w14:ligatures w14:val="none"/>
        </w:rPr>
        <w:noBreakHyphen/>
        <w:t xml:space="preserve">dose folinic acid treatment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_Ref229650272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7</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w:t>
      </w:r>
    </w:p>
    <w:p w14:paraId="6F8465D0" w14:textId="41DB1DFA"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Oxidative stress is another well</w:t>
      </w:r>
      <w:r w:rsidRPr="00062B53">
        <w:rPr>
          <w:rFonts w:ascii="Arial" w:eastAsia="Times New Roman" w:hAnsi="Arial" w:cs="Arial"/>
          <w:color w:val="0F1115"/>
          <w:kern w:val="0"/>
          <w:sz w:val="20"/>
          <w:szCs w:val="20"/>
          <w:lang w:eastAsia="en-GB"/>
          <w14:ligatures w14:val="none"/>
        </w:rPr>
        <w:noBreakHyphen/>
        <w:t xml:space="preserve">established abnormality in ASD. Reduced glutathione (GSH), the body’s primary endogenous antioxidant, is frequently depleted in children with ASD, leading to an unfavourable GSH/GSSG ratio and increased cellular damage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_Ref229650278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8</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xml:space="preserve">. Vitamin D3 (cholecalciferol) has also been implicated, not only because of its role in bone health but also because of its immunomodulatory and neuroprotective properties. Low vitamin D levels have been repeatedly found in ASD populations and correlate with symptom severity </w:t>
      </w:r>
      <w:r w:rsidR="003A5721" w:rsidRPr="003A5721">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_Ref229650284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9</w:t>
      </w:r>
      <w:r w:rsidR="00D20AB0">
        <w:rPr>
          <w:rFonts w:ascii="Arial" w:eastAsia="Times New Roman" w:hAnsi="Arial" w:cs="Arial"/>
          <w:color w:val="0000FF"/>
          <w:kern w:val="0"/>
          <w:sz w:val="20"/>
          <w:szCs w:val="20"/>
          <w:lang w:eastAsia="en-GB"/>
          <w14:ligatures w14:val="none"/>
        </w:rPr>
        <w:fldChar w:fldCharType="end"/>
      </w:r>
      <w:r w:rsidR="003A5721" w:rsidRPr="003A5721">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w:t>
      </w:r>
    </w:p>
    <w:p w14:paraId="4542D93E"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Despite this growing body of evidence, few studies have examined the interrelationships among FRα autoantibodies, vitamin D, folate and glutathione in the same patient population, particularly in Middle Eastern settings. </w:t>
      </w:r>
      <w:proofErr w:type="spellStart"/>
      <w:r w:rsidRPr="00062B53">
        <w:rPr>
          <w:rFonts w:ascii="Arial" w:eastAsia="Times New Roman" w:hAnsi="Arial" w:cs="Arial"/>
          <w:color w:val="0F1115"/>
          <w:kern w:val="0"/>
          <w:sz w:val="20"/>
          <w:szCs w:val="20"/>
          <w:lang w:eastAsia="en-GB"/>
          <w14:ligatures w14:val="none"/>
        </w:rPr>
        <w:t>Thi</w:t>
      </w:r>
      <w:proofErr w:type="spellEnd"/>
      <w:r w:rsidRPr="00062B53">
        <w:rPr>
          <w:rFonts w:ascii="Arial" w:eastAsia="Times New Roman" w:hAnsi="Arial" w:cs="Arial"/>
          <w:color w:val="0F1115"/>
          <w:kern w:val="0"/>
          <w:sz w:val="20"/>
          <w:szCs w:val="20"/>
          <w:lang w:eastAsia="en-GB"/>
          <w14:ligatures w14:val="none"/>
        </w:rPr>
        <w:t xml:space="preserve"> </w:t>
      </w:r>
      <w:proofErr w:type="spellStart"/>
      <w:r w:rsidRPr="00062B53">
        <w:rPr>
          <w:rFonts w:ascii="Arial" w:eastAsia="Times New Roman" w:hAnsi="Arial" w:cs="Arial"/>
          <w:color w:val="0F1115"/>
          <w:kern w:val="0"/>
          <w:sz w:val="20"/>
          <w:szCs w:val="20"/>
          <w:lang w:eastAsia="en-GB"/>
          <w14:ligatures w14:val="none"/>
        </w:rPr>
        <w:t>Qar</w:t>
      </w:r>
      <w:proofErr w:type="spellEnd"/>
      <w:r w:rsidRPr="00062B53">
        <w:rPr>
          <w:rFonts w:ascii="Arial" w:eastAsia="Times New Roman" w:hAnsi="Arial" w:cs="Arial"/>
          <w:color w:val="0F1115"/>
          <w:kern w:val="0"/>
          <w:sz w:val="20"/>
          <w:szCs w:val="20"/>
          <w:lang w:eastAsia="en-GB"/>
          <w14:ligatures w14:val="none"/>
        </w:rPr>
        <w:t xml:space="preserve">, a governorate in southern Iraq, has a genetically and culturally distinct population, yet no previous </w:t>
      </w:r>
      <w:r w:rsidRPr="00062B53">
        <w:rPr>
          <w:rFonts w:ascii="Arial" w:eastAsia="Times New Roman" w:hAnsi="Arial" w:cs="Arial"/>
          <w:color w:val="0F1115"/>
          <w:kern w:val="0"/>
          <w:sz w:val="20"/>
          <w:szCs w:val="20"/>
          <w:lang w:eastAsia="en-GB"/>
          <w14:ligatures w14:val="none"/>
        </w:rPr>
        <w:t>work has explored these biomarkers in local children with ASD.</w:t>
      </w:r>
    </w:p>
    <w:p w14:paraId="309502F4"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The present study therefore aimed to: (1) measure serum anti</w:t>
      </w:r>
      <w:r w:rsidRPr="00062B53">
        <w:rPr>
          <w:rFonts w:ascii="Arial" w:eastAsia="Times New Roman" w:hAnsi="Arial" w:cs="Arial"/>
          <w:color w:val="0F1115"/>
          <w:kern w:val="0"/>
          <w:sz w:val="20"/>
          <w:szCs w:val="20"/>
          <w:lang w:eastAsia="en-GB"/>
          <w14:ligatures w14:val="none"/>
        </w:rPr>
        <w:noBreakHyphen/>
        <w:t>FOLR1 IgG, vitamin D3, folic acid and reduced glutathione in children with ASD and matched controls; (2) compare these biomarkers between ASD children who are seropositive and seronegative for anti</w:t>
      </w:r>
      <w:r w:rsidRPr="00062B53">
        <w:rPr>
          <w:rFonts w:ascii="Arial" w:eastAsia="Times New Roman" w:hAnsi="Arial" w:cs="Arial"/>
          <w:color w:val="0F1115"/>
          <w:kern w:val="0"/>
          <w:sz w:val="20"/>
          <w:szCs w:val="20"/>
          <w:lang w:eastAsia="en-GB"/>
          <w14:ligatures w14:val="none"/>
        </w:rPr>
        <w:noBreakHyphen/>
        <w:t>FOLR1 IgG; and (3) examine whether autoantibody status is associated with ASD severity.</w:t>
      </w:r>
    </w:p>
    <w:p w14:paraId="5F9F25E7" w14:textId="463AB6F1" w:rsidR="00B77644" w:rsidRPr="00062B53" w:rsidRDefault="00B77644" w:rsidP="00847404">
      <w:pPr>
        <w:spacing w:after="0" w:line="240" w:lineRule="auto"/>
        <w:jc w:val="both"/>
        <w:rPr>
          <w:rFonts w:ascii="Arial" w:eastAsia="Times New Roman" w:hAnsi="Arial" w:cs="Arial"/>
          <w:kern w:val="0"/>
          <w:sz w:val="20"/>
          <w:szCs w:val="20"/>
          <w:lang w:eastAsia="en-GB"/>
          <w14:ligatures w14:val="none"/>
        </w:rPr>
      </w:pPr>
    </w:p>
    <w:p w14:paraId="777DF1E5"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Materials and Methods</w:t>
      </w:r>
    </w:p>
    <w:p w14:paraId="35B5DC5F" w14:textId="77777777" w:rsidR="00B77644" w:rsidRPr="002A5358"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A5358">
        <w:rPr>
          <w:rFonts w:ascii="Arial" w:eastAsia="Times New Roman" w:hAnsi="Arial" w:cs="Arial"/>
          <w:i/>
          <w:iCs/>
          <w:color w:val="0F1115"/>
          <w:kern w:val="0"/>
          <w:sz w:val="20"/>
          <w:szCs w:val="20"/>
          <w:lang w:eastAsia="en-GB"/>
          <w14:ligatures w14:val="none"/>
        </w:rPr>
        <w:t>Study design and setting</w:t>
      </w:r>
    </w:p>
    <w:p w14:paraId="1CD3FDDC"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This was a case</w:t>
      </w:r>
      <w:r w:rsidRPr="00062B53">
        <w:rPr>
          <w:rFonts w:ascii="Arial" w:eastAsia="Times New Roman" w:hAnsi="Arial" w:cs="Arial"/>
          <w:color w:val="0F1115"/>
          <w:kern w:val="0"/>
          <w:sz w:val="20"/>
          <w:szCs w:val="20"/>
          <w:lang w:eastAsia="en-GB"/>
          <w14:ligatures w14:val="none"/>
        </w:rPr>
        <w:noBreakHyphen/>
        <w:t xml:space="preserve">control study conducted at the QAR Autism Rehabilitation Centre and </w:t>
      </w:r>
      <w:proofErr w:type="spellStart"/>
      <w:r w:rsidRPr="00062B53">
        <w:rPr>
          <w:rFonts w:ascii="Arial" w:eastAsia="Times New Roman" w:hAnsi="Arial" w:cs="Arial"/>
          <w:color w:val="0F1115"/>
          <w:kern w:val="0"/>
          <w:sz w:val="20"/>
          <w:szCs w:val="20"/>
          <w:lang w:eastAsia="en-GB"/>
          <w14:ligatures w14:val="none"/>
        </w:rPr>
        <w:t>Alshatra</w:t>
      </w:r>
      <w:proofErr w:type="spellEnd"/>
      <w:r w:rsidRPr="00062B53">
        <w:rPr>
          <w:rFonts w:ascii="Arial" w:eastAsia="Times New Roman" w:hAnsi="Arial" w:cs="Arial"/>
          <w:color w:val="0F1115"/>
          <w:kern w:val="0"/>
          <w:sz w:val="20"/>
          <w:szCs w:val="20"/>
          <w:lang w:eastAsia="en-GB"/>
          <w14:ligatures w14:val="none"/>
        </w:rPr>
        <w:t xml:space="preserve"> General Hospital in </w:t>
      </w:r>
      <w:proofErr w:type="spellStart"/>
      <w:r w:rsidRPr="00062B53">
        <w:rPr>
          <w:rFonts w:ascii="Arial" w:eastAsia="Times New Roman" w:hAnsi="Arial" w:cs="Arial"/>
          <w:color w:val="0F1115"/>
          <w:kern w:val="0"/>
          <w:sz w:val="20"/>
          <w:szCs w:val="20"/>
          <w:lang w:eastAsia="en-GB"/>
          <w14:ligatures w14:val="none"/>
        </w:rPr>
        <w:t>Thi</w:t>
      </w:r>
      <w:proofErr w:type="spellEnd"/>
      <w:r w:rsidRPr="00062B53">
        <w:rPr>
          <w:rFonts w:ascii="Arial" w:eastAsia="Times New Roman" w:hAnsi="Arial" w:cs="Arial"/>
          <w:color w:val="0F1115"/>
          <w:kern w:val="0"/>
          <w:sz w:val="20"/>
          <w:szCs w:val="20"/>
          <w:lang w:eastAsia="en-GB"/>
          <w14:ligatures w14:val="none"/>
        </w:rPr>
        <w:t xml:space="preserve"> </w:t>
      </w:r>
      <w:proofErr w:type="spellStart"/>
      <w:r w:rsidRPr="00062B53">
        <w:rPr>
          <w:rFonts w:ascii="Arial" w:eastAsia="Times New Roman" w:hAnsi="Arial" w:cs="Arial"/>
          <w:color w:val="0F1115"/>
          <w:kern w:val="0"/>
          <w:sz w:val="20"/>
          <w:szCs w:val="20"/>
          <w:lang w:eastAsia="en-GB"/>
          <w14:ligatures w14:val="none"/>
        </w:rPr>
        <w:t>Qar</w:t>
      </w:r>
      <w:proofErr w:type="spellEnd"/>
      <w:r w:rsidRPr="00062B53">
        <w:rPr>
          <w:rFonts w:ascii="Arial" w:eastAsia="Times New Roman" w:hAnsi="Arial" w:cs="Arial"/>
          <w:color w:val="0F1115"/>
          <w:kern w:val="0"/>
          <w:sz w:val="20"/>
          <w:szCs w:val="20"/>
          <w:lang w:eastAsia="en-GB"/>
          <w14:ligatures w14:val="none"/>
        </w:rPr>
        <w:t xml:space="preserve"> Governorate, southern Iraq. The study period was October 2025 to January 2026.</w:t>
      </w:r>
    </w:p>
    <w:p w14:paraId="0759CB41" w14:textId="77777777" w:rsidR="002A5358" w:rsidRPr="00062B53" w:rsidRDefault="002A5358"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BBE9021" w14:textId="77777777" w:rsidR="00B77644" w:rsidRPr="002A5358"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A5358">
        <w:rPr>
          <w:rFonts w:ascii="Arial" w:eastAsia="Times New Roman" w:hAnsi="Arial" w:cs="Arial"/>
          <w:i/>
          <w:iCs/>
          <w:color w:val="0F1115"/>
          <w:kern w:val="0"/>
          <w:sz w:val="20"/>
          <w:szCs w:val="20"/>
          <w:lang w:eastAsia="en-GB"/>
          <w14:ligatures w14:val="none"/>
        </w:rPr>
        <w:t>Study population</w:t>
      </w:r>
    </w:p>
    <w:p w14:paraId="28AC061A"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Children aged 2–12 years with a clinical diagnosis of ASD were recruited from the rehabilitation centre. Diagnoses were confirmed by a child psychiatrist using the Diagnostic and Statistical Manual of Mental Disorders, Fifth Edition (DSM</w:t>
      </w:r>
      <w:r w:rsidRPr="00062B53">
        <w:rPr>
          <w:rFonts w:ascii="Arial" w:eastAsia="Times New Roman" w:hAnsi="Arial" w:cs="Arial"/>
          <w:color w:val="0F1115"/>
          <w:kern w:val="0"/>
          <w:sz w:val="20"/>
          <w:szCs w:val="20"/>
          <w:lang w:eastAsia="en-GB"/>
          <w14:ligatures w14:val="none"/>
        </w:rPr>
        <w:noBreakHyphen/>
        <w:t>5) criteria. Children with known genetic syndromes (e.g., Fragile X, Rett syndrome), major neurological disorders (e.g., epilepsy requiring ongoing anticonvulsant treatment), or chronic illnesses affecting nutritional status (e.g., coeliac disease, inflammatory bowel disease) were excluded.</w:t>
      </w:r>
    </w:p>
    <w:p w14:paraId="6A72CB31"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Healthy control children were recruited from the general paediatric outpatient clinic of </w:t>
      </w:r>
      <w:proofErr w:type="spellStart"/>
      <w:r w:rsidRPr="00062B53">
        <w:rPr>
          <w:rFonts w:ascii="Arial" w:eastAsia="Times New Roman" w:hAnsi="Arial" w:cs="Arial"/>
          <w:color w:val="0F1115"/>
          <w:kern w:val="0"/>
          <w:sz w:val="20"/>
          <w:szCs w:val="20"/>
          <w:lang w:eastAsia="en-GB"/>
          <w14:ligatures w14:val="none"/>
        </w:rPr>
        <w:t>Alshatra</w:t>
      </w:r>
      <w:proofErr w:type="spellEnd"/>
      <w:r w:rsidRPr="00062B53">
        <w:rPr>
          <w:rFonts w:ascii="Arial" w:eastAsia="Times New Roman" w:hAnsi="Arial" w:cs="Arial"/>
          <w:color w:val="0F1115"/>
          <w:kern w:val="0"/>
          <w:sz w:val="20"/>
          <w:szCs w:val="20"/>
          <w:lang w:eastAsia="en-GB"/>
          <w14:ligatures w14:val="none"/>
        </w:rPr>
        <w:t xml:space="preserve"> General Hospital. Controls were required to have no history of neurodevelopmental, psychiatric or chronic medical conditions, and to be free from any acute illness at the time of sampling. Controls were individually matched to ASD cases by age (±6 months) and sex.</w:t>
      </w:r>
    </w:p>
    <w:p w14:paraId="4BA1DC6F" w14:textId="77777777" w:rsidR="002A5358" w:rsidRPr="00062B53" w:rsidRDefault="002A5358"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0E9F609" w14:textId="77777777" w:rsidR="00B77644" w:rsidRPr="002A5358"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A5358">
        <w:rPr>
          <w:rFonts w:ascii="Arial" w:eastAsia="Times New Roman" w:hAnsi="Arial" w:cs="Arial"/>
          <w:i/>
          <w:iCs/>
          <w:color w:val="0F1115"/>
          <w:kern w:val="0"/>
          <w:sz w:val="20"/>
          <w:szCs w:val="20"/>
          <w:lang w:eastAsia="en-GB"/>
          <w14:ligatures w14:val="none"/>
        </w:rPr>
        <w:t>Sample size</w:t>
      </w:r>
    </w:p>
    <w:p w14:paraId="3A908BF0"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A convenience sample of 60 ASD children and 60 controls was enrolled. No formal power calculation was performed because this was an exploratory study; the sample size was determined based on feasibility and recruitment capacity during the study period.</w:t>
      </w:r>
    </w:p>
    <w:p w14:paraId="5A87C6DE" w14:textId="77777777" w:rsidR="002A5358" w:rsidRPr="00062B53" w:rsidRDefault="002A5358"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65559C4" w14:textId="77777777" w:rsidR="00B77644" w:rsidRPr="002A5358"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2A5358">
        <w:rPr>
          <w:rFonts w:ascii="Arial" w:eastAsia="Times New Roman" w:hAnsi="Arial" w:cs="Arial"/>
          <w:i/>
          <w:iCs/>
          <w:color w:val="0F1115"/>
          <w:kern w:val="0"/>
          <w:sz w:val="20"/>
          <w:szCs w:val="20"/>
          <w:lang w:eastAsia="en-GB"/>
          <w14:ligatures w14:val="none"/>
        </w:rPr>
        <w:t>Data collection</w:t>
      </w:r>
    </w:p>
    <w:p w14:paraId="23619D68" w14:textId="1A418DBC"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A standardised questionnaire was administered to parents or legal guardians. Information collected included </w:t>
      </w:r>
      <w:r w:rsidR="002A5358">
        <w:rPr>
          <w:rFonts w:ascii="Arial" w:eastAsia="Times New Roman" w:hAnsi="Arial" w:cs="Arial"/>
          <w:color w:val="0F1115"/>
          <w:kern w:val="0"/>
          <w:sz w:val="20"/>
          <w:szCs w:val="20"/>
          <w:lang w:eastAsia="en-GB"/>
          <w14:ligatures w14:val="none"/>
        </w:rPr>
        <w:t xml:space="preserve">the </w:t>
      </w:r>
      <w:r w:rsidRPr="00062B53">
        <w:rPr>
          <w:rFonts w:ascii="Arial" w:eastAsia="Times New Roman" w:hAnsi="Arial" w:cs="Arial"/>
          <w:color w:val="0F1115"/>
          <w:kern w:val="0"/>
          <w:sz w:val="20"/>
          <w:szCs w:val="20"/>
          <w:lang w:eastAsia="en-GB"/>
          <w14:ligatures w14:val="none"/>
        </w:rPr>
        <w:t xml:space="preserve">child’s age, sex, age at ASD diagnosis, ABO blood group, maternal folic acid supplementation during pregnancy (yes/no), maternal exposure to significant psychological stress during pregnancy (yes/no, defined as a </w:t>
      </w:r>
      <w:r w:rsidRPr="00062B53">
        <w:rPr>
          <w:rFonts w:ascii="Arial" w:eastAsia="Times New Roman" w:hAnsi="Arial" w:cs="Arial"/>
          <w:color w:val="0F1115"/>
          <w:kern w:val="0"/>
          <w:sz w:val="20"/>
          <w:szCs w:val="20"/>
          <w:lang w:eastAsia="en-GB"/>
          <w14:ligatures w14:val="none"/>
        </w:rPr>
        <w:lastRenderedPageBreak/>
        <w:t>major life event or chronic stress reported by the mother), and current milk consumption by the child (yes/no).</w:t>
      </w:r>
    </w:p>
    <w:p w14:paraId="72E05327" w14:textId="24DED394"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ASD severity was assessed using the Childhood Autism Rating Scale (CARS), second edition, a 15</w:t>
      </w:r>
      <w:r w:rsidRPr="00062B53">
        <w:rPr>
          <w:rFonts w:ascii="Arial" w:eastAsia="Times New Roman" w:hAnsi="Arial" w:cs="Arial"/>
          <w:color w:val="0F1115"/>
          <w:kern w:val="0"/>
          <w:sz w:val="20"/>
          <w:szCs w:val="20"/>
          <w:lang w:eastAsia="en-GB"/>
          <w14:ligatures w14:val="none"/>
        </w:rPr>
        <w:noBreakHyphen/>
        <w:t>item observational scale that yields scores from 15 to 60. Scores of 30–36.5 were classified as mild to moderate ASD, and scores ≥37 as severe ASD, according to standard cut</w:t>
      </w:r>
      <w:r w:rsidRPr="00062B53">
        <w:rPr>
          <w:rFonts w:ascii="Arial" w:eastAsia="Times New Roman" w:hAnsi="Arial" w:cs="Arial"/>
          <w:color w:val="0F1115"/>
          <w:kern w:val="0"/>
          <w:sz w:val="20"/>
          <w:szCs w:val="20"/>
          <w:lang w:eastAsia="en-GB"/>
          <w14:ligatures w14:val="none"/>
        </w:rPr>
        <w:noBreakHyphen/>
        <w:t xml:space="preserve">offs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_Ref229650293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10</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w:t>
      </w:r>
    </w:p>
    <w:p w14:paraId="71C74CEA" w14:textId="77777777" w:rsidR="00B4502B" w:rsidRPr="00062B53" w:rsidRDefault="00B4502B"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2E2FE19" w14:textId="77777777" w:rsidR="00B77644" w:rsidRPr="00B4502B"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B4502B">
        <w:rPr>
          <w:rFonts w:ascii="Arial" w:eastAsia="Times New Roman" w:hAnsi="Arial" w:cs="Arial"/>
          <w:i/>
          <w:iCs/>
          <w:color w:val="0F1115"/>
          <w:kern w:val="0"/>
          <w:sz w:val="20"/>
          <w:szCs w:val="20"/>
          <w:lang w:eastAsia="en-GB"/>
          <w14:ligatures w14:val="none"/>
        </w:rPr>
        <w:t>Laboratory methods</w:t>
      </w:r>
    </w:p>
    <w:p w14:paraId="793AD387"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Venous blood (5 mL) was collected from each child after an overnight fast. One millilitre was placed into an EDTA tube for complete blood count (used for clinical monitoring but not reported here). The remaining 4 mL was transferred to a plain gel tube, centrifuged at 3000 rpm for 5 minutes, and serum was aliquoted into Eppendorf tubes and stored at −20°C until analysis.</w:t>
      </w:r>
    </w:p>
    <w:p w14:paraId="60D1E910" w14:textId="0511BE00"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Biochemical parameters (vitamin D3, folic acid) were measured on a fully automatic clinical chemistry analyser (</w:t>
      </w:r>
      <w:proofErr w:type="spellStart"/>
      <w:r w:rsidRPr="00062B53">
        <w:rPr>
          <w:rFonts w:ascii="Arial" w:eastAsia="Times New Roman" w:hAnsi="Arial" w:cs="Arial"/>
          <w:color w:val="0F1115"/>
          <w:kern w:val="0"/>
          <w:sz w:val="20"/>
          <w:szCs w:val="20"/>
          <w:lang w:eastAsia="en-GB"/>
          <w14:ligatures w14:val="none"/>
        </w:rPr>
        <w:t>Dirui</w:t>
      </w:r>
      <w:proofErr w:type="spellEnd"/>
      <w:r w:rsidRPr="00062B53">
        <w:rPr>
          <w:rFonts w:ascii="Arial" w:eastAsia="Times New Roman" w:hAnsi="Arial" w:cs="Arial"/>
          <w:color w:val="0F1115"/>
          <w:kern w:val="0"/>
          <w:sz w:val="20"/>
          <w:szCs w:val="20"/>
          <w:lang w:eastAsia="en-GB"/>
          <w14:ligatures w14:val="none"/>
        </w:rPr>
        <w:t xml:space="preserve"> CS</w:t>
      </w:r>
      <w:r w:rsidRPr="00062B53">
        <w:rPr>
          <w:rFonts w:ascii="Arial" w:eastAsia="Times New Roman" w:hAnsi="Arial" w:cs="Arial"/>
          <w:color w:val="0F1115"/>
          <w:kern w:val="0"/>
          <w:sz w:val="20"/>
          <w:szCs w:val="20"/>
          <w:lang w:eastAsia="en-GB"/>
          <w14:ligatures w14:val="none"/>
        </w:rPr>
        <w:noBreakHyphen/>
        <w:t xml:space="preserve">T180, </w:t>
      </w:r>
      <w:proofErr w:type="spellStart"/>
      <w:r w:rsidRPr="00062B53">
        <w:rPr>
          <w:rFonts w:ascii="Arial" w:eastAsia="Times New Roman" w:hAnsi="Arial" w:cs="Arial"/>
          <w:color w:val="0F1115"/>
          <w:kern w:val="0"/>
          <w:sz w:val="20"/>
          <w:szCs w:val="20"/>
          <w:lang w:eastAsia="en-GB"/>
          <w14:ligatures w14:val="none"/>
        </w:rPr>
        <w:t>Dirui</w:t>
      </w:r>
      <w:proofErr w:type="spellEnd"/>
      <w:r w:rsidRPr="00062B53">
        <w:rPr>
          <w:rFonts w:ascii="Arial" w:eastAsia="Times New Roman" w:hAnsi="Arial" w:cs="Arial"/>
          <w:color w:val="0F1115"/>
          <w:kern w:val="0"/>
          <w:sz w:val="20"/>
          <w:szCs w:val="20"/>
          <w:lang w:eastAsia="en-GB"/>
          <w14:ligatures w14:val="none"/>
        </w:rPr>
        <w:t xml:space="preserve"> Industrial Co., China). Reduced glutathione was measured using a </w:t>
      </w:r>
      <w:proofErr w:type="spellStart"/>
      <w:r w:rsidR="00B4502B">
        <w:rPr>
          <w:rFonts w:ascii="Arial" w:eastAsia="Times New Roman" w:hAnsi="Arial" w:cs="Arial"/>
          <w:color w:val="0F1115"/>
          <w:kern w:val="0"/>
          <w:sz w:val="20"/>
          <w:szCs w:val="20"/>
          <w:lang w:eastAsia="en-GB"/>
          <w14:ligatures w14:val="none"/>
        </w:rPr>
        <w:t>colourimetric</w:t>
      </w:r>
      <w:proofErr w:type="spellEnd"/>
      <w:r w:rsidRPr="00062B53">
        <w:rPr>
          <w:rFonts w:ascii="Arial" w:eastAsia="Times New Roman" w:hAnsi="Arial" w:cs="Arial"/>
          <w:color w:val="0F1115"/>
          <w:kern w:val="0"/>
          <w:sz w:val="20"/>
          <w:szCs w:val="20"/>
          <w:lang w:eastAsia="en-GB"/>
          <w14:ligatures w14:val="none"/>
        </w:rPr>
        <w:t xml:space="preserve"> assay kit (</w:t>
      </w:r>
      <w:proofErr w:type="spellStart"/>
      <w:r w:rsidRPr="00062B53">
        <w:rPr>
          <w:rFonts w:ascii="Arial" w:eastAsia="Times New Roman" w:hAnsi="Arial" w:cs="Arial"/>
          <w:color w:val="0F1115"/>
          <w:kern w:val="0"/>
          <w:sz w:val="20"/>
          <w:szCs w:val="20"/>
          <w:lang w:eastAsia="en-GB"/>
          <w14:ligatures w14:val="none"/>
        </w:rPr>
        <w:t>Sunlong</w:t>
      </w:r>
      <w:proofErr w:type="spellEnd"/>
      <w:r w:rsidRPr="00062B53">
        <w:rPr>
          <w:rFonts w:ascii="Arial" w:eastAsia="Times New Roman" w:hAnsi="Arial" w:cs="Arial"/>
          <w:color w:val="0F1115"/>
          <w:kern w:val="0"/>
          <w:sz w:val="20"/>
          <w:szCs w:val="20"/>
          <w:lang w:eastAsia="en-GB"/>
          <w14:ligatures w14:val="none"/>
        </w:rPr>
        <w:t xml:space="preserve"> Biotech Co., China, catalogue number SL1008</w:t>
      </w:r>
      <w:r w:rsidRPr="00062B53">
        <w:rPr>
          <w:rFonts w:ascii="Arial" w:eastAsia="Times New Roman" w:hAnsi="Arial" w:cs="Arial"/>
          <w:color w:val="0F1115"/>
          <w:kern w:val="0"/>
          <w:sz w:val="20"/>
          <w:szCs w:val="20"/>
          <w:lang w:eastAsia="en-GB"/>
          <w14:ligatures w14:val="none"/>
        </w:rPr>
        <w:noBreakHyphen/>
        <w:t>GSH) following the manufacturer’s protocol. Anti</w:t>
      </w:r>
      <w:r w:rsidRPr="00062B53">
        <w:rPr>
          <w:rFonts w:ascii="Arial" w:eastAsia="Times New Roman" w:hAnsi="Arial" w:cs="Arial"/>
          <w:color w:val="0F1115"/>
          <w:kern w:val="0"/>
          <w:sz w:val="20"/>
          <w:szCs w:val="20"/>
          <w:lang w:eastAsia="en-GB"/>
          <w14:ligatures w14:val="none"/>
        </w:rPr>
        <w:noBreakHyphen/>
        <w:t>FOLR1 IgG was quantified using a sandwich enzyme</w:t>
      </w:r>
      <w:r w:rsidRPr="00062B53">
        <w:rPr>
          <w:rFonts w:ascii="Arial" w:eastAsia="Times New Roman" w:hAnsi="Arial" w:cs="Arial"/>
          <w:color w:val="0F1115"/>
          <w:kern w:val="0"/>
          <w:sz w:val="20"/>
          <w:szCs w:val="20"/>
          <w:lang w:eastAsia="en-GB"/>
          <w14:ligatures w14:val="none"/>
        </w:rPr>
        <w:noBreakHyphen/>
        <w:t>linked immunosorbent assay (ELISA) kit (</w:t>
      </w:r>
      <w:proofErr w:type="spellStart"/>
      <w:r w:rsidRPr="00062B53">
        <w:rPr>
          <w:rFonts w:ascii="Arial" w:eastAsia="Times New Roman" w:hAnsi="Arial" w:cs="Arial"/>
          <w:color w:val="0F1115"/>
          <w:kern w:val="0"/>
          <w:sz w:val="20"/>
          <w:szCs w:val="20"/>
          <w:lang w:eastAsia="en-GB"/>
          <w14:ligatures w14:val="none"/>
        </w:rPr>
        <w:t>Sunlong</w:t>
      </w:r>
      <w:proofErr w:type="spellEnd"/>
      <w:r w:rsidRPr="00062B53">
        <w:rPr>
          <w:rFonts w:ascii="Arial" w:eastAsia="Times New Roman" w:hAnsi="Arial" w:cs="Arial"/>
          <w:color w:val="0F1115"/>
          <w:kern w:val="0"/>
          <w:sz w:val="20"/>
          <w:szCs w:val="20"/>
          <w:lang w:eastAsia="en-GB"/>
          <w14:ligatures w14:val="none"/>
        </w:rPr>
        <w:t xml:space="preserve"> Biotech Co., China, catalogue number SL2345</w:t>
      </w:r>
      <w:r w:rsidRPr="00062B53">
        <w:rPr>
          <w:rFonts w:ascii="Arial" w:eastAsia="Times New Roman" w:hAnsi="Arial" w:cs="Arial"/>
          <w:color w:val="0F1115"/>
          <w:kern w:val="0"/>
          <w:sz w:val="20"/>
          <w:szCs w:val="20"/>
          <w:lang w:eastAsia="en-GB"/>
          <w14:ligatures w14:val="none"/>
        </w:rPr>
        <w:noBreakHyphen/>
        <w:t>FOLR1). The ELISA had a reported intra</w:t>
      </w:r>
      <w:r w:rsidRPr="00062B53">
        <w:rPr>
          <w:rFonts w:ascii="Arial" w:eastAsia="Times New Roman" w:hAnsi="Arial" w:cs="Arial"/>
          <w:color w:val="0F1115"/>
          <w:kern w:val="0"/>
          <w:sz w:val="20"/>
          <w:szCs w:val="20"/>
          <w:lang w:eastAsia="en-GB"/>
          <w14:ligatures w14:val="none"/>
        </w:rPr>
        <w:noBreakHyphen/>
        <w:t>assay coefficient of variation of &lt;8% and inter</w:t>
      </w:r>
      <w:r w:rsidRPr="00062B53">
        <w:rPr>
          <w:rFonts w:ascii="Arial" w:eastAsia="Times New Roman" w:hAnsi="Arial" w:cs="Arial"/>
          <w:color w:val="0F1115"/>
          <w:kern w:val="0"/>
          <w:sz w:val="20"/>
          <w:szCs w:val="20"/>
          <w:lang w:eastAsia="en-GB"/>
          <w14:ligatures w14:val="none"/>
        </w:rPr>
        <w:noBreakHyphen/>
        <w:t>assay CV &lt;12%. The manufacturer’s recommended cut</w:t>
      </w:r>
      <w:r w:rsidRPr="00062B53">
        <w:rPr>
          <w:rFonts w:ascii="Arial" w:eastAsia="Times New Roman" w:hAnsi="Arial" w:cs="Arial"/>
          <w:color w:val="0F1115"/>
          <w:kern w:val="0"/>
          <w:sz w:val="20"/>
          <w:szCs w:val="20"/>
          <w:lang w:eastAsia="en-GB"/>
          <w14:ligatures w14:val="none"/>
        </w:rPr>
        <w:noBreakHyphen/>
        <w:t>off for seropositivity was an optical density ratio ≥1.1 relative to the provided calibrator. All assays were performed in duplicate, and the mean values were used for analysis.</w:t>
      </w:r>
    </w:p>
    <w:p w14:paraId="493D92A9" w14:textId="77777777" w:rsidR="00B4502B" w:rsidRPr="00062B53" w:rsidRDefault="00B4502B"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FE6F0F0" w14:textId="77777777" w:rsidR="00B77644" w:rsidRPr="00B4502B"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B4502B">
        <w:rPr>
          <w:rFonts w:ascii="Arial" w:eastAsia="Times New Roman" w:hAnsi="Arial" w:cs="Arial"/>
          <w:i/>
          <w:iCs/>
          <w:color w:val="0F1115"/>
          <w:kern w:val="0"/>
          <w:sz w:val="20"/>
          <w:szCs w:val="20"/>
          <w:lang w:eastAsia="en-GB"/>
          <w14:ligatures w14:val="none"/>
        </w:rPr>
        <w:t>Statistical analysis</w:t>
      </w:r>
    </w:p>
    <w:p w14:paraId="09B61722"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Statistical analyses were performed using IBM SPSS Statistics version 27. Normality of continuous variables was assessed using the Shapiro–Wilk test. Data that were not normally distributed are presented as median and interquartile range (IQR); normally distributed data are presented as mean ± standard deviation (SD). Comparisons between two independent groups (e.g., seropositive vs seronegative ASD children) were performed using the Mann–Whitney U test for non</w:t>
      </w:r>
      <w:r w:rsidRPr="00062B53">
        <w:rPr>
          <w:rFonts w:ascii="Arial" w:eastAsia="Times New Roman" w:hAnsi="Arial" w:cs="Arial"/>
          <w:color w:val="0F1115"/>
          <w:kern w:val="0"/>
          <w:sz w:val="20"/>
          <w:szCs w:val="20"/>
          <w:lang w:eastAsia="en-GB"/>
          <w14:ligatures w14:val="none"/>
        </w:rPr>
        <w:noBreakHyphen/>
        <w:t>parametric data and the independent samples t</w:t>
      </w:r>
      <w:r w:rsidRPr="00062B53">
        <w:rPr>
          <w:rFonts w:ascii="Arial" w:eastAsia="Times New Roman" w:hAnsi="Arial" w:cs="Arial"/>
          <w:color w:val="0F1115"/>
          <w:kern w:val="0"/>
          <w:sz w:val="20"/>
          <w:szCs w:val="20"/>
          <w:lang w:eastAsia="en-GB"/>
          <w14:ligatures w14:val="none"/>
        </w:rPr>
        <w:noBreakHyphen/>
        <w:t>test for parametric data. Categorical variables were analysed using the chi</w:t>
      </w:r>
      <w:r w:rsidRPr="00062B53">
        <w:rPr>
          <w:rFonts w:ascii="Arial" w:eastAsia="Times New Roman" w:hAnsi="Arial" w:cs="Arial"/>
          <w:color w:val="0F1115"/>
          <w:kern w:val="0"/>
          <w:sz w:val="20"/>
          <w:szCs w:val="20"/>
          <w:lang w:eastAsia="en-GB"/>
          <w14:ligatures w14:val="none"/>
        </w:rPr>
        <w:noBreakHyphen/>
        <w:t>square test or Fisher’s exact test when expected cell counts were &lt;5. All tests were two</w:t>
      </w:r>
      <w:r w:rsidRPr="00062B53">
        <w:rPr>
          <w:rFonts w:ascii="Arial" w:eastAsia="Times New Roman" w:hAnsi="Arial" w:cs="Arial"/>
          <w:color w:val="0F1115"/>
          <w:kern w:val="0"/>
          <w:sz w:val="20"/>
          <w:szCs w:val="20"/>
          <w:lang w:eastAsia="en-GB"/>
          <w14:ligatures w14:val="none"/>
        </w:rPr>
        <w:noBreakHyphen/>
        <w:t>tailed, and a p</w:t>
      </w:r>
      <w:r w:rsidRPr="00062B53">
        <w:rPr>
          <w:rFonts w:ascii="Arial" w:eastAsia="Times New Roman" w:hAnsi="Arial" w:cs="Arial"/>
          <w:color w:val="0F1115"/>
          <w:kern w:val="0"/>
          <w:sz w:val="20"/>
          <w:szCs w:val="20"/>
          <w:lang w:eastAsia="en-GB"/>
          <w14:ligatures w14:val="none"/>
        </w:rPr>
        <w:noBreakHyphen/>
        <w:t>value &lt;0.05 was considered statistically significant. No adjustment for multiple comparisons was applied, given the exploratory nature of the study; however, this limitation is acknowledged.</w:t>
      </w:r>
    </w:p>
    <w:p w14:paraId="29A23537"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Logistic regression and receiver operating characteristic (ROC) analyses were initially planned but could not be reliably performed because of the small sample size and the absence of a validation cohort. These analyses are therefore not reported.</w:t>
      </w:r>
    </w:p>
    <w:p w14:paraId="4EE04BDB" w14:textId="272CC96D" w:rsidR="00B77644" w:rsidRPr="00062B53" w:rsidRDefault="00B77644" w:rsidP="00847404">
      <w:pPr>
        <w:spacing w:after="0" w:line="240" w:lineRule="auto"/>
        <w:jc w:val="both"/>
        <w:rPr>
          <w:rFonts w:ascii="Arial" w:eastAsia="Times New Roman" w:hAnsi="Arial" w:cs="Arial"/>
          <w:kern w:val="0"/>
          <w:sz w:val="20"/>
          <w:szCs w:val="20"/>
          <w:lang w:eastAsia="en-GB"/>
          <w14:ligatures w14:val="none"/>
        </w:rPr>
      </w:pPr>
    </w:p>
    <w:p w14:paraId="0DCAF856"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Results</w:t>
      </w:r>
    </w:p>
    <w:p w14:paraId="3EA5C4AC" w14:textId="77777777" w:rsidR="00B77644" w:rsidRPr="00B4502B"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B4502B">
        <w:rPr>
          <w:rFonts w:ascii="Arial" w:eastAsia="Times New Roman" w:hAnsi="Arial" w:cs="Arial"/>
          <w:i/>
          <w:iCs/>
          <w:color w:val="0F1115"/>
          <w:kern w:val="0"/>
          <w:sz w:val="20"/>
          <w:szCs w:val="20"/>
          <w:lang w:eastAsia="en-GB"/>
          <w14:ligatures w14:val="none"/>
        </w:rPr>
        <w:t>Demographic and clinical characteristics</w:t>
      </w:r>
    </w:p>
    <w:p w14:paraId="7876D49F"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A total of 120 children (60 ASD, 60 controls) were enrolled. Table 1 summarises the baseline characteristics. The mean age of ASD children was 6.93±2.92 years (range 2–12 years), and that of controls was 7.43±3.04 years (p=0.360). Both groups included 30 males and 30 females (50% each; p=1.000). The median age at ASD diagnosis was 2.85 years (IQR 2.00–3.00). ABO blood group distribution did not differ significantly between groups (p=0.203), although a higher proportion of ASD children had type A blood (28.3% vs 13.3%).</w:t>
      </w:r>
    </w:p>
    <w:p w14:paraId="0BA94868" w14:textId="77777777" w:rsidR="004315AF" w:rsidRDefault="004315AF"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4315AF" w:rsidSect="004315AF">
          <w:type w:val="continuous"/>
          <w:pgSz w:w="11906" w:h="16838"/>
          <w:pgMar w:top="1440" w:right="1440" w:bottom="1440" w:left="1440" w:header="720" w:footer="720" w:gutter="0"/>
          <w:cols w:num="2" w:space="432"/>
          <w:titlePg/>
          <w:docGrid w:linePitch="360"/>
        </w:sectPr>
      </w:pPr>
    </w:p>
    <w:p w14:paraId="58BDF937" w14:textId="77777777" w:rsidR="00CA1418" w:rsidRPr="00062B53" w:rsidRDefault="00CA1418"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01C7C550" w14:textId="47403157" w:rsidR="00B77644" w:rsidRPr="00062B53" w:rsidRDefault="00B77644" w:rsidP="00847404">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Table 1</w:t>
      </w:r>
      <w:r w:rsidR="00CA1418">
        <w:rPr>
          <w:rFonts w:ascii="Arial" w:eastAsia="Times New Roman" w:hAnsi="Arial" w:cs="Arial"/>
          <w:b/>
          <w:bCs/>
          <w:color w:val="0F1115"/>
          <w:kern w:val="0"/>
          <w:sz w:val="20"/>
          <w:szCs w:val="20"/>
          <w:lang w:eastAsia="en-GB"/>
          <w14:ligatures w14:val="none"/>
        </w:rPr>
        <w:t>:</w:t>
      </w:r>
      <w:r w:rsidRPr="00062B53">
        <w:rPr>
          <w:rFonts w:ascii="Arial" w:eastAsia="Times New Roman" w:hAnsi="Arial" w:cs="Arial"/>
          <w:b/>
          <w:bCs/>
          <w:color w:val="0F1115"/>
          <w:kern w:val="0"/>
          <w:sz w:val="20"/>
          <w:szCs w:val="20"/>
          <w:lang w:eastAsia="en-GB"/>
          <w14:ligatures w14:val="none"/>
        </w:rPr>
        <w:t xml:space="preserve"> Baseline demographic characteristics of the study population</w:t>
      </w:r>
    </w:p>
    <w:tbl>
      <w:tblPr>
        <w:tblW w:w="9637" w:type="dxa"/>
        <w:jc w:val="center"/>
        <w:tblLook w:val="04A0" w:firstRow="1" w:lastRow="0" w:firstColumn="1" w:lastColumn="0" w:noHBand="0" w:noVBand="1"/>
      </w:tblPr>
      <w:tblGrid>
        <w:gridCol w:w="3796"/>
        <w:gridCol w:w="1317"/>
        <w:gridCol w:w="1796"/>
        <w:gridCol w:w="1800"/>
        <w:gridCol w:w="928"/>
      </w:tblGrid>
      <w:tr w:rsidR="00D04970" w:rsidRPr="00D04970" w14:paraId="5D81B52E" w14:textId="77777777" w:rsidTr="00DC4053">
        <w:trPr>
          <w:trHeight w:val="49"/>
          <w:jc w:val="center"/>
        </w:trPr>
        <w:tc>
          <w:tcPr>
            <w:tcW w:w="3796" w:type="dxa"/>
            <w:tcBorders>
              <w:top w:val="single" w:sz="4" w:space="0" w:color="auto"/>
              <w:left w:val="nil"/>
              <w:bottom w:val="single" w:sz="4" w:space="0" w:color="auto"/>
              <w:right w:val="nil"/>
            </w:tcBorders>
            <w:noWrap/>
            <w:vAlign w:val="center"/>
            <w:hideMark/>
          </w:tcPr>
          <w:p w14:paraId="33AA361A" w14:textId="77777777" w:rsidR="00D04970" w:rsidRPr="00D04970" w:rsidRDefault="00D04970" w:rsidP="00D04970">
            <w:pPr>
              <w:spacing w:after="0" w:line="240" w:lineRule="auto"/>
              <w:jc w:val="center"/>
              <w:rPr>
                <w:rFonts w:ascii="Arial" w:eastAsia="Times New Roman" w:hAnsi="Arial" w:cs="Arial"/>
                <w:b/>
                <w:bCs/>
                <w:color w:val="000000"/>
                <w:kern w:val="0"/>
                <w:sz w:val="20"/>
                <w:szCs w:val="20"/>
                <w:lang w:eastAsia="en-GB"/>
                <w14:ligatures w14:val="none"/>
              </w:rPr>
            </w:pPr>
            <w:r w:rsidRPr="00D04970">
              <w:rPr>
                <w:rFonts w:ascii="Arial" w:eastAsia="Times New Roman" w:hAnsi="Arial" w:cs="Arial"/>
                <w:b/>
                <w:bCs/>
                <w:color w:val="000000"/>
                <w:kern w:val="0"/>
                <w:sz w:val="20"/>
                <w:szCs w:val="20"/>
                <w:lang w:eastAsia="en-GB"/>
                <w14:ligatures w14:val="none"/>
              </w:rPr>
              <w:t>Variable</w:t>
            </w:r>
          </w:p>
        </w:tc>
        <w:tc>
          <w:tcPr>
            <w:tcW w:w="1317" w:type="dxa"/>
            <w:tcBorders>
              <w:top w:val="single" w:sz="4" w:space="0" w:color="auto"/>
              <w:left w:val="nil"/>
              <w:bottom w:val="single" w:sz="4" w:space="0" w:color="auto"/>
              <w:right w:val="nil"/>
            </w:tcBorders>
            <w:noWrap/>
            <w:vAlign w:val="center"/>
            <w:hideMark/>
          </w:tcPr>
          <w:p w14:paraId="23EA4A68" w14:textId="77777777" w:rsidR="00D04970" w:rsidRPr="00D04970" w:rsidRDefault="00D04970" w:rsidP="00D04970">
            <w:pPr>
              <w:spacing w:after="0" w:line="240" w:lineRule="auto"/>
              <w:jc w:val="center"/>
              <w:rPr>
                <w:rFonts w:ascii="Arial" w:eastAsia="Times New Roman" w:hAnsi="Arial" w:cs="Arial"/>
                <w:b/>
                <w:bCs/>
                <w:color w:val="000000"/>
                <w:kern w:val="0"/>
                <w:sz w:val="20"/>
                <w:szCs w:val="20"/>
                <w:lang w:eastAsia="en-GB"/>
                <w14:ligatures w14:val="none"/>
              </w:rPr>
            </w:pPr>
            <w:r w:rsidRPr="00D04970">
              <w:rPr>
                <w:rFonts w:ascii="Arial" w:eastAsia="Times New Roman" w:hAnsi="Arial" w:cs="Arial"/>
                <w:b/>
                <w:bCs/>
                <w:color w:val="000000"/>
                <w:kern w:val="0"/>
                <w:sz w:val="20"/>
                <w:szCs w:val="20"/>
                <w:lang w:eastAsia="en-GB"/>
                <w14:ligatures w14:val="none"/>
              </w:rPr>
              <w:t>Category</w:t>
            </w:r>
          </w:p>
        </w:tc>
        <w:tc>
          <w:tcPr>
            <w:tcW w:w="1796" w:type="dxa"/>
            <w:tcBorders>
              <w:top w:val="single" w:sz="4" w:space="0" w:color="auto"/>
              <w:left w:val="nil"/>
              <w:bottom w:val="single" w:sz="4" w:space="0" w:color="auto"/>
              <w:right w:val="nil"/>
            </w:tcBorders>
            <w:noWrap/>
            <w:vAlign w:val="center"/>
            <w:hideMark/>
          </w:tcPr>
          <w:p w14:paraId="6E352BC7" w14:textId="77777777" w:rsidR="00D04970" w:rsidRPr="00D04970" w:rsidRDefault="00D04970" w:rsidP="00D04970">
            <w:pPr>
              <w:spacing w:after="0" w:line="240" w:lineRule="auto"/>
              <w:jc w:val="center"/>
              <w:rPr>
                <w:rFonts w:ascii="Arial" w:eastAsia="Times New Roman" w:hAnsi="Arial" w:cs="Arial"/>
                <w:b/>
                <w:bCs/>
                <w:color w:val="000000"/>
                <w:kern w:val="0"/>
                <w:sz w:val="20"/>
                <w:szCs w:val="20"/>
                <w:lang w:eastAsia="en-GB"/>
                <w14:ligatures w14:val="none"/>
              </w:rPr>
            </w:pPr>
            <w:r w:rsidRPr="00D04970">
              <w:rPr>
                <w:rFonts w:ascii="Arial" w:eastAsia="Times New Roman" w:hAnsi="Arial" w:cs="Arial"/>
                <w:b/>
                <w:bCs/>
                <w:color w:val="000000"/>
                <w:kern w:val="0"/>
                <w:sz w:val="20"/>
                <w:szCs w:val="20"/>
                <w:lang w:eastAsia="en-GB"/>
                <w14:ligatures w14:val="none"/>
              </w:rPr>
              <w:t>ASD (n=60)</w:t>
            </w:r>
          </w:p>
        </w:tc>
        <w:tc>
          <w:tcPr>
            <w:tcW w:w="1800" w:type="dxa"/>
            <w:tcBorders>
              <w:top w:val="single" w:sz="4" w:space="0" w:color="auto"/>
              <w:left w:val="nil"/>
              <w:bottom w:val="single" w:sz="4" w:space="0" w:color="auto"/>
              <w:right w:val="nil"/>
            </w:tcBorders>
            <w:noWrap/>
            <w:vAlign w:val="center"/>
            <w:hideMark/>
          </w:tcPr>
          <w:p w14:paraId="08DD73BF" w14:textId="77777777" w:rsidR="00D04970" w:rsidRPr="00D04970" w:rsidRDefault="00D04970" w:rsidP="00D04970">
            <w:pPr>
              <w:spacing w:after="0" w:line="240" w:lineRule="auto"/>
              <w:jc w:val="center"/>
              <w:rPr>
                <w:rFonts w:ascii="Arial" w:eastAsia="Times New Roman" w:hAnsi="Arial" w:cs="Arial"/>
                <w:b/>
                <w:bCs/>
                <w:color w:val="000000"/>
                <w:kern w:val="0"/>
                <w:sz w:val="20"/>
                <w:szCs w:val="20"/>
                <w:lang w:eastAsia="en-GB"/>
                <w14:ligatures w14:val="none"/>
              </w:rPr>
            </w:pPr>
            <w:r w:rsidRPr="00D04970">
              <w:rPr>
                <w:rFonts w:ascii="Arial" w:eastAsia="Times New Roman" w:hAnsi="Arial" w:cs="Arial"/>
                <w:b/>
                <w:bCs/>
                <w:color w:val="000000"/>
                <w:kern w:val="0"/>
                <w:sz w:val="20"/>
                <w:szCs w:val="20"/>
                <w:lang w:eastAsia="en-GB"/>
                <w14:ligatures w14:val="none"/>
              </w:rPr>
              <w:t>Controls (n=60)</w:t>
            </w:r>
          </w:p>
        </w:tc>
        <w:tc>
          <w:tcPr>
            <w:tcW w:w="928" w:type="dxa"/>
            <w:tcBorders>
              <w:top w:val="single" w:sz="4" w:space="0" w:color="auto"/>
              <w:left w:val="nil"/>
              <w:bottom w:val="single" w:sz="4" w:space="0" w:color="auto"/>
              <w:right w:val="nil"/>
            </w:tcBorders>
            <w:noWrap/>
            <w:vAlign w:val="center"/>
            <w:hideMark/>
          </w:tcPr>
          <w:p w14:paraId="32AE2301" w14:textId="77777777" w:rsidR="00D04970" w:rsidRPr="00D04970" w:rsidRDefault="00D04970" w:rsidP="00D04970">
            <w:pPr>
              <w:spacing w:after="0" w:line="240" w:lineRule="auto"/>
              <w:jc w:val="center"/>
              <w:rPr>
                <w:rFonts w:ascii="Arial" w:eastAsia="Times New Roman" w:hAnsi="Arial" w:cs="Arial"/>
                <w:b/>
                <w:bCs/>
                <w:color w:val="000000"/>
                <w:kern w:val="0"/>
                <w:sz w:val="20"/>
                <w:szCs w:val="20"/>
                <w:lang w:eastAsia="en-GB"/>
                <w14:ligatures w14:val="none"/>
              </w:rPr>
            </w:pPr>
            <w:r w:rsidRPr="00D04970">
              <w:rPr>
                <w:rFonts w:ascii="Arial" w:eastAsia="Times New Roman" w:hAnsi="Arial" w:cs="Arial"/>
                <w:b/>
                <w:bCs/>
                <w:color w:val="000000"/>
                <w:kern w:val="0"/>
                <w:sz w:val="20"/>
                <w:szCs w:val="20"/>
                <w:lang w:eastAsia="en-GB"/>
                <w14:ligatures w14:val="none"/>
              </w:rPr>
              <w:t>P</w:t>
            </w:r>
            <w:r w:rsidRPr="00D04970">
              <w:rPr>
                <w:rFonts w:ascii="Arial" w:eastAsia="Times New Roman" w:hAnsi="Arial" w:cs="Arial"/>
                <w:b/>
                <w:bCs/>
                <w:color w:val="000000"/>
                <w:kern w:val="0"/>
                <w:sz w:val="20"/>
                <w:szCs w:val="20"/>
                <w:lang w:eastAsia="en-GB"/>
                <w14:ligatures w14:val="none"/>
              </w:rPr>
              <w:noBreakHyphen/>
              <w:t>value</w:t>
            </w:r>
          </w:p>
        </w:tc>
      </w:tr>
      <w:tr w:rsidR="00D04970" w:rsidRPr="00D04970" w14:paraId="552BE827" w14:textId="77777777" w:rsidTr="00DC4053">
        <w:trPr>
          <w:trHeight w:val="49"/>
          <w:jc w:val="center"/>
        </w:trPr>
        <w:tc>
          <w:tcPr>
            <w:tcW w:w="3796" w:type="dxa"/>
            <w:tcBorders>
              <w:top w:val="nil"/>
              <w:left w:val="nil"/>
              <w:bottom w:val="nil"/>
              <w:right w:val="nil"/>
            </w:tcBorders>
            <w:noWrap/>
            <w:vAlign w:val="center"/>
            <w:hideMark/>
          </w:tcPr>
          <w:p w14:paraId="54107B0E" w14:textId="4B1BC00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Age (years), mean</w:t>
            </w:r>
            <w:r>
              <w:rPr>
                <w:rFonts w:ascii="Arial" w:eastAsia="Times New Roman" w:hAnsi="Arial" w:cs="Arial"/>
                <w:color w:val="000000"/>
                <w:kern w:val="0"/>
                <w:sz w:val="20"/>
                <w:szCs w:val="20"/>
                <w:lang w:eastAsia="en-GB"/>
                <w14:ligatures w14:val="none"/>
              </w:rPr>
              <w:t xml:space="preserve"> </w:t>
            </w:r>
            <w:r w:rsidRPr="00D04970">
              <w:rPr>
                <w:rFonts w:ascii="Arial" w:eastAsia="Times New Roman" w:hAnsi="Arial" w:cs="Arial"/>
                <w:color w:val="000000"/>
                <w:kern w:val="0"/>
                <w:sz w:val="20"/>
                <w:szCs w:val="20"/>
                <w:lang w:eastAsia="en-GB"/>
                <w14:ligatures w14:val="none"/>
              </w:rPr>
              <w:t>±</w:t>
            </w:r>
            <w:r>
              <w:rPr>
                <w:rFonts w:ascii="Arial" w:eastAsia="Times New Roman" w:hAnsi="Arial" w:cs="Arial"/>
                <w:color w:val="000000"/>
                <w:kern w:val="0"/>
                <w:sz w:val="20"/>
                <w:szCs w:val="20"/>
                <w:lang w:eastAsia="en-GB"/>
                <w14:ligatures w14:val="none"/>
              </w:rPr>
              <w:t xml:space="preserve"> </w:t>
            </w:r>
            <w:r w:rsidRPr="00D04970">
              <w:rPr>
                <w:rFonts w:ascii="Arial" w:eastAsia="Times New Roman" w:hAnsi="Arial" w:cs="Arial"/>
                <w:color w:val="000000"/>
                <w:kern w:val="0"/>
                <w:sz w:val="20"/>
                <w:szCs w:val="20"/>
                <w:lang w:eastAsia="en-GB"/>
                <w14:ligatures w14:val="none"/>
              </w:rPr>
              <w:t>SD</w:t>
            </w:r>
          </w:p>
        </w:tc>
        <w:tc>
          <w:tcPr>
            <w:tcW w:w="1317" w:type="dxa"/>
            <w:tcBorders>
              <w:top w:val="nil"/>
              <w:left w:val="nil"/>
              <w:bottom w:val="nil"/>
              <w:right w:val="nil"/>
            </w:tcBorders>
            <w:noWrap/>
            <w:vAlign w:val="center"/>
            <w:hideMark/>
          </w:tcPr>
          <w:p w14:paraId="174D9DA8"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p>
        </w:tc>
        <w:tc>
          <w:tcPr>
            <w:tcW w:w="1796" w:type="dxa"/>
            <w:tcBorders>
              <w:top w:val="nil"/>
              <w:left w:val="nil"/>
              <w:bottom w:val="nil"/>
              <w:right w:val="nil"/>
            </w:tcBorders>
            <w:noWrap/>
            <w:vAlign w:val="center"/>
            <w:hideMark/>
          </w:tcPr>
          <w:p w14:paraId="17A5FA25"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6.93±2.92</w:t>
            </w:r>
          </w:p>
        </w:tc>
        <w:tc>
          <w:tcPr>
            <w:tcW w:w="1800" w:type="dxa"/>
            <w:tcBorders>
              <w:top w:val="nil"/>
              <w:left w:val="nil"/>
              <w:bottom w:val="nil"/>
              <w:right w:val="nil"/>
            </w:tcBorders>
            <w:noWrap/>
            <w:vAlign w:val="center"/>
            <w:hideMark/>
          </w:tcPr>
          <w:p w14:paraId="557A1530"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7.43±3.04</w:t>
            </w:r>
          </w:p>
        </w:tc>
        <w:tc>
          <w:tcPr>
            <w:tcW w:w="928" w:type="dxa"/>
            <w:tcBorders>
              <w:top w:val="nil"/>
              <w:left w:val="nil"/>
              <w:bottom w:val="nil"/>
              <w:right w:val="nil"/>
            </w:tcBorders>
            <w:noWrap/>
            <w:vAlign w:val="center"/>
            <w:hideMark/>
          </w:tcPr>
          <w:p w14:paraId="478BB1AC"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0.36</w:t>
            </w:r>
          </w:p>
        </w:tc>
      </w:tr>
      <w:tr w:rsidR="00D04970" w:rsidRPr="00D04970" w14:paraId="717D9A6F" w14:textId="77777777" w:rsidTr="00DC4053">
        <w:trPr>
          <w:trHeight w:val="59"/>
          <w:jc w:val="center"/>
        </w:trPr>
        <w:tc>
          <w:tcPr>
            <w:tcW w:w="3796" w:type="dxa"/>
            <w:tcBorders>
              <w:top w:val="nil"/>
              <w:left w:val="nil"/>
              <w:bottom w:val="nil"/>
              <w:right w:val="nil"/>
            </w:tcBorders>
            <w:noWrap/>
            <w:vAlign w:val="center"/>
            <w:hideMark/>
          </w:tcPr>
          <w:p w14:paraId="107603C0"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Age groups, n (%)</w:t>
            </w:r>
          </w:p>
        </w:tc>
        <w:tc>
          <w:tcPr>
            <w:tcW w:w="1317" w:type="dxa"/>
            <w:tcBorders>
              <w:top w:val="nil"/>
              <w:left w:val="nil"/>
              <w:bottom w:val="nil"/>
              <w:right w:val="nil"/>
            </w:tcBorders>
            <w:noWrap/>
            <w:vAlign w:val="center"/>
            <w:hideMark/>
          </w:tcPr>
          <w:p w14:paraId="1A7A9F97"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2–4 years</w:t>
            </w:r>
          </w:p>
        </w:tc>
        <w:tc>
          <w:tcPr>
            <w:tcW w:w="1796" w:type="dxa"/>
            <w:tcBorders>
              <w:top w:val="nil"/>
              <w:left w:val="nil"/>
              <w:bottom w:val="nil"/>
              <w:right w:val="nil"/>
            </w:tcBorders>
            <w:noWrap/>
            <w:vAlign w:val="center"/>
            <w:hideMark/>
          </w:tcPr>
          <w:p w14:paraId="6D49183A"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15 (25.0)</w:t>
            </w:r>
          </w:p>
        </w:tc>
        <w:tc>
          <w:tcPr>
            <w:tcW w:w="1800" w:type="dxa"/>
            <w:tcBorders>
              <w:top w:val="nil"/>
              <w:left w:val="nil"/>
              <w:bottom w:val="nil"/>
              <w:right w:val="nil"/>
            </w:tcBorders>
            <w:noWrap/>
            <w:vAlign w:val="center"/>
            <w:hideMark/>
          </w:tcPr>
          <w:p w14:paraId="28336800"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11 (18.3)</w:t>
            </w:r>
          </w:p>
        </w:tc>
        <w:tc>
          <w:tcPr>
            <w:tcW w:w="928" w:type="dxa"/>
            <w:tcBorders>
              <w:top w:val="nil"/>
              <w:left w:val="nil"/>
              <w:bottom w:val="nil"/>
              <w:right w:val="nil"/>
            </w:tcBorders>
            <w:noWrap/>
            <w:vAlign w:val="center"/>
            <w:hideMark/>
          </w:tcPr>
          <w:p w14:paraId="57299673"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0.563</w:t>
            </w:r>
          </w:p>
        </w:tc>
      </w:tr>
      <w:tr w:rsidR="00D04970" w:rsidRPr="00D04970" w14:paraId="2C6A484E" w14:textId="77777777" w:rsidTr="00DC4053">
        <w:trPr>
          <w:trHeight w:val="59"/>
          <w:jc w:val="center"/>
        </w:trPr>
        <w:tc>
          <w:tcPr>
            <w:tcW w:w="3796" w:type="dxa"/>
            <w:tcBorders>
              <w:top w:val="nil"/>
              <w:left w:val="nil"/>
              <w:bottom w:val="nil"/>
              <w:right w:val="nil"/>
            </w:tcBorders>
            <w:noWrap/>
            <w:vAlign w:val="center"/>
            <w:hideMark/>
          </w:tcPr>
          <w:p w14:paraId="7A9A7A4C"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p>
        </w:tc>
        <w:tc>
          <w:tcPr>
            <w:tcW w:w="1317" w:type="dxa"/>
            <w:tcBorders>
              <w:top w:val="nil"/>
              <w:left w:val="nil"/>
              <w:bottom w:val="nil"/>
              <w:right w:val="nil"/>
            </w:tcBorders>
            <w:noWrap/>
            <w:vAlign w:val="center"/>
            <w:hideMark/>
          </w:tcPr>
          <w:p w14:paraId="1352BE0F"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5–7 years</w:t>
            </w:r>
          </w:p>
        </w:tc>
        <w:tc>
          <w:tcPr>
            <w:tcW w:w="1796" w:type="dxa"/>
            <w:tcBorders>
              <w:top w:val="nil"/>
              <w:left w:val="nil"/>
              <w:bottom w:val="nil"/>
              <w:right w:val="nil"/>
            </w:tcBorders>
            <w:noWrap/>
            <w:vAlign w:val="center"/>
            <w:hideMark/>
          </w:tcPr>
          <w:p w14:paraId="6851F015"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23 (38.3)</w:t>
            </w:r>
          </w:p>
        </w:tc>
        <w:tc>
          <w:tcPr>
            <w:tcW w:w="1800" w:type="dxa"/>
            <w:tcBorders>
              <w:top w:val="nil"/>
              <w:left w:val="nil"/>
              <w:bottom w:val="nil"/>
              <w:right w:val="nil"/>
            </w:tcBorders>
            <w:noWrap/>
            <w:vAlign w:val="center"/>
            <w:hideMark/>
          </w:tcPr>
          <w:p w14:paraId="2A743D08"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22 (36.7)</w:t>
            </w:r>
          </w:p>
        </w:tc>
        <w:tc>
          <w:tcPr>
            <w:tcW w:w="928" w:type="dxa"/>
            <w:tcBorders>
              <w:top w:val="nil"/>
              <w:left w:val="nil"/>
              <w:bottom w:val="nil"/>
              <w:right w:val="nil"/>
            </w:tcBorders>
            <w:noWrap/>
            <w:vAlign w:val="center"/>
            <w:hideMark/>
          </w:tcPr>
          <w:p w14:paraId="485628DC"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p>
        </w:tc>
      </w:tr>
      <w:tr w:rsidR="00D04970" w:rsidRPr="00D04970" w14:paraId="6B90584C" w14:textId="77777777" w:rsidTr="00DC4053">
        <w:trPr>
          <w:trHeight w:val="59"/>
          <w:jc w:val="center"/>
        </w:trPr>
        <w:tc>
          <w:tcPr>
            <w:tcW w:w="3796" w:type="dxa"/>
            <w:tcBorders>
              <w:top w:val="nil"/>
              <w:left w:val="nil"/>
              <w:bottom w:val="nil"/>
              <w:right w:val="nil"/>
            </w:tcBorders>
            <w:noWrap/>
            <w:vAlign w:val="center"/>
            <w:hideMark/>
          </w:tcPr>
          <w:p w14:paraId="04649DA6" w14:textId="77777777" w:rsidR="00D04970" w:rsidRPr="00D04970" w:rsidRDefault="00D04970" w:rsidP="00D04970">
            <w:pPr>
              <w:spacing w:after="0" w:line="240" w:lineRule="auto"/>
              <w:rPr>
                <w:rFonts w:ascii="Times New Roman" w:eastAsia="Times New Roman" w:hAnsi="Times New Roman" w:cs="Times New Roman"/>
                <w:kern w:val="0"/>
                <w:sz w:val="20"/>
                <w:szCs w:val="20"/>
                <w:lang w:eastAsia="en-GB"/>
                <w14:ligatures w14:val="none"/>
              </w:rPr>
            </w:pPr>
          </w:p>
        </w:tc>
        <w:tc>
          <w:tcPr>
            <w:tcW w:w="1317" w:type="dxa"/>
            <w:tcBorders>
              <w:top w:val="nil"/>
              <w:left w:val="nil"/>
              <w:bottom w:val="nil"/>
              <w:right w:val="nil"/>
            </w:tcBorders>
            <w:noWrap/>
            <w:vAlign w:val="center"/>
            <w:hideMark/>
          </w:tcPr>
          <w:p w14:paraId="23009D75"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8–12 years</w:t>
            </w:r>
          </w:p>
        </w:tc>
        <w:tc>
          <w:tcPr>
            <w:tcW w:w="1796" w:type="dxa"/>
            <w:tcBorders>
              <w:top w:val="nil"/>
              <w:left w:val="nil"/>
              <w:bottom w:val="nil"/>
              <w:right w:val="nil"/>
            </w:tcBorders>
            <w:noWrap/>
            <w:vAlign w:val="center"/>
            <w:hideMark/>
          </w:tcPr>
          <w:p w14:paraId="69A55529"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22 (36.7)</w:t>
            </w:r>
          </w:p>
        </w:tc>
        <w:tc>
          <w:tcPr>
            <w:tcW w:w="1800" w:type="dxa"/>
            <w:tcBorders>
              <w:top w:val="nil"/>
              <w:left w:val="nil"/>
              <w:bottom w:val="nil"/>
              <w:right w:val="nil"/>
            </w:tcBorders>
            <w:noWrap/>
            <w:vAlign w:val="center"/>
            <w:hideMark/>
          </w:tcPr>
          <w:p w14:paraId="06C106ED"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27 (45.0)</w:t>
            </w:r>
          </w:p>
        </w:tc>
        <w:tc>
          <w:tcPr>
            <w:tcW w:w="928" w:type="dxa"/>
            <w:tcBorders>
              <w:top w:val="nil"/>
              <w:left w:val="nil"/>
              <w:bottom w:val="nil"/>
              <w:right w:val="nil"/>
            </w:tcBorders>
            <w:noWrap/>
            <w:vAlign w:val="center"/>
            <w:hideMark/>
          </w:tcPr>
          <w:p w14:paraId="36335D55"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p>
        </w:tc>
      </w:tr>
      <w:tr w:rsidR="00D04970" w:rsidRPr="00D04970" w14:paraId="42E7493D" w14:textId="77777777" w:rsidTr="000A2CC8">
        <w:trPr>
          <w:trHeight w:val="59"/>
          <w:jc w:val="center"/>
        </w:trPr>
        <w:tc>
          <w:tcPr>
            <w:tcW w:w="3796" w:type="dxa"/>
            <w:tcBorders>
              <w:top w:val="nil"/>
              <w:left w:val="nil"/>
              <w:bottom w:val="nil"/>
              <w:right w:val="nil"/>
            </w:tcBorders>
            <w:noWrap/>
            <w:vAlign w:val="center"/>
            <w:hideMark/>
          </w:tcPr>
          <w:p w14:paraId="1B985452"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Sex, n (%)</w:t>
            </w:r>
          </w:p>
        </w:tc>
        <w:tc>
          <w:tcPr>
            <w:tcW w:w="1317" w:type="dxa"/>
            <w:tcBorders>
              <w:top w:val="nil"/>
              <w:left w:val="nil"/>
              <w:bottom w:val="nil"/>
              <w:right w:val="nil"/>
            </w:tcBorders>
            <w:noWrap/>
            <w:vAlign w:val="center"/>
            <w:hideMark/>
          </w:tcPr>
          <w:p w14:paraId="3DE7993E"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Male</w:t>
            </w:r>
          </w:p>
        </w:tc>
        <w:tc>
          <w:tcPr>
            <w:tcW w:w="1796" w:type="dxa"/>
            <w:tcBorders>
              <w:top w:val="nil"/>
              <w:left w:val="nil"/>
              <w:bottom w:val="nil"/>
              <w:right w:val="nil"/>
            </w:tcBorders>
            <w:noWrap/>
            <w:vAlign w:val="center"/>
            <w:hideMark/>
          </w:tcPr>
          <w:p w14:paraId="78EEB5FD"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30 (50.0)</w:t>
            </w:r>
          </w:p>
        </w:tc>
        <w:tc>
          <w:tcPr>
            <w:tcW w:w="1800" w:type="dxa"/>
            <w:tcBorders>
              <w:top w:val="nil"/>
              <w:left w:val="nil"/>
              <w:bottom w:val="nil"/>
              <w:right w:val="nil"/>
            </w:tcBorders>
            <w:noWrap/>
            <w:vAlign w:val="center"/>
            <w:hideMark/>
          </w:tcPr>
          <w:p w14:paraId="78C89C46"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30 (50.0)</w:t>
            </w:r>
          </w:p>
        </w:tc>
        <w:tc>
          <w:tcPr>
            <w:tcW w:w="928" w:type="dxa"/>
            <w:tcBorders>
              <w:top w:val="nil"/>
              <w:left w:val="nil"/>
              <w:bottom w:val="nil"/>
              <w:right w:val="nil"/>
            </w:tcBorders>
            <w:noWrap/>
            <w:vAlign w:val="center"/>
            <w:hideMark/>
          </w:tcPr>
          <w:p w14:paraId="432022E3"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w:t>
            </w:r>
          </w:p>
        </w:tc>
      </w:tr>
      <w:tr w:rsidR="00D04970" w:rsidRPr="00D04970" w14:paraId="7F8B5E8C" w14:textId="77777777" w:rsidTr="000A2CC8">
        <w:trPr>
          <w:trHeight w:val="59"/>
          <w:jc w:val="center"/>
        </w:trPr>
        <w:tc>
          <w:tcPr>
            <w:tcW w:w="3796" w:type="dxa"/>
            <w:tcBorders>
              <w:top w:val="nil"/>
              <w:left w:val="nil"/>
              <w:bottom w:val="nil"/>
              <w:right w:val="nil"/>
            </w:tcBorders>
            <w:noWrap/>
            <w:vAlign w:val="center"/>
            <w:hideMark/>
          </w:tcPr>
          <w:p w14:paraId="3DF17CC8"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p>
        </w:tc>
        <w:tc>
          <w:tcPr>
            <w:tcW w:w="1317" w:type="dxa"/>
            <w:tcBorders>
              <w:top w:val="nil"/>
              <w:left w:val="nil"/>
              <w:bottom w:val="nil"/>
              <w:right w:val="nil"/>
            </w:tcBorders>
            <w:noWrap/>
            <w:vAlign w:val="center"/>
            <w:hideMark/>
          </w:tcPr>
          <w:p w14:paraId="744CD367"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Female</w:t>
            </w:r>
          </w:p>
        </w:tc>
        <w:tc>
          <w:tcPr>
            <w:tcW w:w="1796" w:type="dxa"/>
            <w:tcBorders>
              <w:top w:val="nil"/>
              <w:left w:val="nil"/>
              <w:bottom w:val="nil"/>
              <w:right w:val="nil"/>
            </w:tcBorders>
            <w:noWrap/>
            <w:vAlign w:val="center"/>
            <w:hideMark/>
          </w:tcPr>
          <w:p w14:paraId="425712F3"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30 (50.0)</w:t>
            </w:r>
          </w:p>
        </w:tc>
        <w:tc>
          <w:tcPr>
            <w:tcW w:w="1800" w:type="dxa"/>
            <w:tcBorders>
              <w:top w:val="nil"/>
              <w:left w:val="nil"/>
              <w:bottom w:val="nil"/>
              <w:right w:val="nil"/>
            </w:tcBorders>
            <w:noWrap/>
            <w:vAlign w:val="center"/>
            <w:hideMark/>
          </w:tcPr>
          <w:p w14:paraId="217EC9EC"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30 (50.0)</w:t>
            </w:r>
          </w:p>
        </w:tc>
        <w:tc>
          <w:tcPr>
            <w:tcW w:w="928" w:type="dxa"/>
            <w:tcBorders>
              <w:top w:val="nil"/>
              <w:left w:val="nil"/>
              <w:bottom w:val="nil"/>
              <w:right w:val="nil"/>
            </w:tcBorders>
            <w:noWrap/>
            <w:vAlign w:val="center"/>
            <w:hideMark/>
          </w:tcPr>
          <w:p w14:paraId="18152DD1"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p>
        </w:tc>
      </w:tr>
      <w:tr w:rsidR="00D04970" w:rsidRPr="00D04970" w14:paraId="72CF709C" w14:textId="77777777" w:rsidTr="000A2CC8">
        <w:trPr>
          <w:trHeight w:val="59"/>
          <w:jc w:val="center"/>
        </w:trPr>
        <w:tc>
          <w:tcPr>
            <w:tcW w:w="3796" w:type="dxa"/>
            <w:tcBorders>
              <w:top w:val="nil"/>
              <w:left w:val="nil"/>
              <w:bottom w:val="nil"/>
              <w:right w:val="nil"/>
            </w:tcBorders>
            <w:noWrap/>
            <w:vAlign w:val="center"/>
            <w:hideMark/>
          </w:tcPr>
          <w:p w14:paraId="20B726D5"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Age at diagnosis (years), median (IQR)</w:t>
            </w:r>
          </w:p>
        </w:tc>
        <w:tc>
          <w:tcPr>
            <w:tcW w:w="1317" w:type="dxa"/>
            <w:tcBorders>
              <w:top w:val="nil"/>
              <w:left w:val="nil"/>
              <w:bottom w:val="nil"/>
              <w:right w:val="nil"/>
            </w:tcBorders>
            <w:noWrap/>
            <w:vAlign w:val="center"/>
            <w:hideMark/>
          </w:tcPr>
          <w:p w14:paraId="2D598A87"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p>
        </w:tc>
        <w:tc>
          <w:tcPr>
            <w:tcW w:w="1796" w:type="dxa"/>
            <w:tcBorders>
              <w:top w:val="nil"/>
              <w:left w:val="nil"/>
              <w:bottom w:val="nil"/>
              <w:right w:val="nil"/>
            </w:tcBorders>
            <w:noWrap/>
            <w:vAlign w:val="center"/>
            <w:hideMark/>
          </w:tcPr>
          <w:p w14:paraId="5F242C04"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2.85 (2.00–3.00)</w:t>
            </w:r>
          </w:p>
        </w:tc>
        <w:tc>
          <w:tcPr>
            <w:tcW w:w="1800" w:type="dxa"/>
            <w:tcBorders>
              <w:top w:val="nil"/>
              <w:left w:val="nil"/>
              <w:bottom w:val="nil"/>
              <w:right w:val="nil"/>
            </w:tcBorders>
            <w:noWrap/>
            <w:vAlign w:val="center"/>
            <w:hideMark/>
          </w:tcPr>
          <w:p w14:paraId="09B98087"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w:t>
            </w:r>
          </w:p>
        </w:tc>
        <w:tc>
          <w:tcPr>
            <w:tcW w:w="928" w:type="dxa"/>
            <w:tcBorders>
              <w:top w:val="nil"/>
              <w:left w:val="nil"/>
              <w:bottom w:val="nil"/>
              <w:right w:val="nil"/>
            </w:tcBorders>
            <w:noWrap/>
            <w:vAlign w:val="center"/>
            <w:hideMark/>
          </w:tcPr>
          <w:p w14:paraId="2C84842D"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w:t>
            </w:r>
          </w:p>
        </w:tc>
      </w:tr>
      <w:tr w:rsidR="00D04970" w:rsidRPr="00D04970" w14:paraId="385C2ED5" w14:textId="77777777" w:rsidTr="000A2CC8">
        <w:trPr>
          <w:trHeight w:val="59"/>
          <w:jc w:val="center"/>
        </w:trPr>
        <w:tc>
          <w:tcPr>
            <w:tcW w:w="3796" w:type="dxa"/>
            <w:tcBorders>
              <w:top w:val="nil"/>
              <w:left w:val="nil"/>
              <w:bottom w:val="nil"/>
              <w:right w:val="nil"/>
            </w:tcBorders>
            <w:noWrap/>
            <w:vAlign w:val="center"/>
            <w:hideMark/>
          </w:tcPr>
          <w:p w14:paraId="1B200EB4"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ABO blood group, n (%)</w:t>
            </w:r>
          </w:p>
        </w:tc>
        <w:tc>
          <w:tcPr>
            <w:tcW w:w="1317" w:type="dxa"/>
            <w:tcBorders>
              <w:top w:val="nil"/>
              <w:left w:val="nil"/>
              <w:bottom w:val="nil"/>
              <w:right w:val="nil"/>
            </w:tcBorders>
            <w:noWrap/>
            <w:vAlign w:val="center"/>
            <w:hideMark/>
          </w:tcPr>
          <w:p w14:paraId="37E0D6F3"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A</w:t>
            </w:r>
          </w:p>
        </w:tc>
        <w:tc>
          <w:tcPr>
            <w:tcW w:w="1796" w:type="dxa"/>
            <w:tcBorders>
              <w:top w:val="nil"/>
              <w:left w:val="nil"/>
              <w:bottom w:val="nil"/>
              <w:right w:val="nil"/>
            </w:tcBorders>
            <w:noWrap/>
            <w:vAlign w:val="center"/>
            <w:hideMark/>
          </w:tcPr>
          <w:p w14:paraId="47A2EDA9"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17 (28.3)</w:t>
            </w:r>
          </w:p>
        </w:tc>
        <w:tc>
          <w:tcPr>
            <w:tcW w:w="1800" w:type="dxa"/>
            <w:tcBorders>
              <w:top w:val="nil"/>
              <w:left w:val="nil"/>
              <w:bottom w:val="nil"/>
              <w:right w:val="nil"/>
            </w:tcBorders>
            <w:noWrap/>
            <w:vAlign w:val="center"/>
            <w:hideMark/>
          </w:tcPr>
          <w:p w14:paraId="50844DE0"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8 (13.3)</w:t>
            </w:r>
          </w:p>
        </w:tc>
        <w:tc>
          <w:tcPr>
            <w:tcW w:w="928" w:type="dxa"/>
            <w:tcBorders>
              <w:top w:val="nil"/>
              <w:left w:val="nil"/>
              <w:bottom w:val="nil"/>
              <w:right w:val="nil"/>
            </w:tcBorders>
            <w:noWrap/>
            <w:vAlign w:val="center"/>
            <w:hideMark/>
          </w:tcPr>
          <w:p w14:paraId="7EAC7046"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0.203</w:t>
            </w:r>
          </w:p>
        </w:tc>
      </w:tr>
      <w:tr w:rsidR="00D04970" w:rsidRPr="00D04970" w14:paraId="58C36271" w14:textId="77777777" w:rsidTr="000A2CC8">
        <w:trPr>
          <w:trHeight w:val="59"/>
          <w:jc w:val="center"/>
        </w:trPr>
        <w:tc>
          <w:tcPr>
            <w:tcW w:w="3796" w:type="dxa"/>
            <w:tcBorders>
              <w:top w:val="nil"/>
              <w:left w:val="nil"/>
              <w:bottom w:val="nil"/>
              <w:right w:val="nil"/>
            </w:tcBorders>
            <w:noWrap/>
            <w:vAlign w:val="center"/>
            <w:hideMark/>
          </w:tcPr>
          <w:p w14:paraId="437D6F87"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p>
        </w:tc>
        <w:tc>
          <w:tcPr>
            <w:tcW w:w="1317" w:type="dxa"/>
            <w:tcBorders>
              <w:top w:val="nil"/>
              <w:left w:val="nil"/>
              <w:bottom w:val="nil"/>
              <w:right w:val="nil"/>
            </w:tcBorders>
            <w:noWrap/>
            <w:vAlign w:val="center"/>
            <w:hideMark/>
          </w:tcPr>
          <w:p w14:paraId="3E2C7931"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B</w:t>
            </w:r>
          </w:p>
        </w:tc>
        <w:tc>
          <w:tcPr>
            <w:tcW w:w="1796" w:type="dxa"/>
            <w:tcBorders>
              <w:top w:val="nil"/>
              <w:left w:val="nil"/>
              <w:bottom w:val="nil"/>
              <w:right w:val="nil"/>
            </w:tcBorders>
            <w:noWrap/>
            <w:vAlign w:val="center"/>
            <w:hideMark/>
          </w:tcPr>
          <w:p w14:paraId="4B321CE6"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19 (31.7)</w:t>
            </w:r>
          </w:p>
        </w:tc>
        <w:tc>
          <w:tcPr>
            <w:tcW w:w="1800" w:type="dxa"/>
            <w:tcBorders>
              <w:top w:val="nil"/>
              <w:left w:val="nil"/>
              <w:bottom w:val="nil"/>
              <w:right w:val="nil"/>
            </w:tcBorders>
            <w:noWrap/>
            <w:vAlign w:val="center"/>
            <w:hideMark/>
          </w:tcPr>
          <w:p w14:paraId="5C8B8410"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25 (41.7)</w:t>
            </w:r>
          </w:p>
        </w:tc>
        <w:tc>
          <w:tcPr>
            <w:tcW w:w="928" w:type="dxa"/>
            <w:tcBorders>
              <w:top w:val="nil"/>
              <w:left w:val="nil"/>
              <w:bottom w:val="nil"/>
              <w:right w:val="nil"/>
            </w:tcBorders>
            <w:noWrap/>
            <w:vAlign w:val="center"/>
            <w:hideMark/>
          </w:tcPr>
          <w:p w14:paraId="6F5631DA"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p>
        </w:tc>
      </w:tr>
      <w:tr w:rsidR="00D04970" w:rsidRPr="00D04970" w14:paraId="1E0DACA8" w14:textId="77777777" w:rsidTr="000A2CC8">
        <w:trPr>
          <w:trHeight w:val="59"/>
          <w:jc w:val="center"/>
        </w:trPr>
        <w:tc>
          <w:tcPr>
            <w:tcW w:w="3796" w:type="dxa"/>
            <w:tcBorders>
              <w:top w:val="nil"/>
              <w:left w:val="nil"/>
              <w:bottom w:val="nil"/>
              <w:right w:val="nil"/>
            </w:tcBorders>
            <w:noWrap/>
            <w:vAlign w:val="center"/>
            <w:hideMark/>
          </w:tcPr>
          <w:p w14:paraId="5AA478C4" w14:textId="77777777" w:rsidR="00D04970" w:rsidRPr="00D04970" w:rsidRDefault="00D04970" w:rsidP="00D04970">
            <w:pPr>
              <w:spacing w:after="0" w:line="240" w:lineRule="auto"/>
              <w:rPr>
                <w:rFonts w:ascii="Times New Roman" w:eastAsia="Times New Roman" w:hAnsi="Times New Roman" w:cs="Times New Roman"/>
                <w:kern w:val="0"/>
                <w:sz w:val="20"/>
                <w:szCs w:val="20"/>
                <w:lang w:eastAsia="en-GB"/>
                <w14:ligatures w14:val="none"/>
              </w:rPr>
            </w:pPr>
          </w:p>
        </w:tc>
        <w:tc>
          <w:tcPr>
            <w:tcW w:w="1317" w:type="dxa"/>
            <w:tcBorders>
              <w:top w:val="nil"/>
              <w:left w:val="nil"/>
              <w:bottom w:val="nil"/>
              <w:right w:val="nil"/>
            </w:tcBorders>
            <w:noWrap/>
            <w:vAlign w:val="center"/>
            <w:hideMark/>
          </w:tcPr>
          <w:p w14:paraId="72B9F0BC"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AB</w:t>
            </w:r>
          </w:p>
        </w:tc>
        <w:tc>
          <w:tcPr>
            <w:tcW w:w="1796" w:type="dxa"/>
            <w:tcBorders>
              <w:top w:val="nil"/>
              <w:left w:val="nil"/>
              <w:bottom w:val="nil"/>
              <w:right w:val="nil"/>
            </w:tcBorders>
            <w:noWrap/>
            <w:vAlign w:val="center"/>
            <w:hideMark/>
          </w:tcPr>
          <w:p w14:paraId="62554DF6"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10 (16.7)</w:t>
            </w:r>
          </w:p>
        </w:tc>
        <w:tc>
          <w:tcPr>
            <w:tcW w:w="1800" w:type="dxa"/>
            <w:tcBorders>
              <w:top w:val="nil"/>
              <w:left w:val="nil"/>
              <w:bottom w:val="nil"/>
              <w:right w:val="nil"/>
            </w:tcBorders>
            <w:noWrap/>
            <w:vAlign w:val="center"/>
            <w:hideMark/>
          </w:tcPr>
          <w:p w14:paraId="7D9CC555"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9 (15.0)</w:t>
            </w:r>
          </w:p>
        </w:tc>
        <w:tc>
          <w:tcPr>
            <w:tcW w:w="928" w:type="dxa"/>
            <w:tcBorders>
              <w:top w:val="nil"/>
              <w:left w:val="nil"/>
              <w:bottom w:val="nil"/>
              <w:right w:val="nil"/>
            </w:tcBorders>
            <w:noWrap/>
            <w:vAlign w:val="center"/>
            <w:hideMark/>
          </w:tcPr>
          <w:p w14:paraId="024B4E76"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p>
        </w:tc>
      </w:tr>
      <w:tr w:rsidR="00D04970" w:rsidRPr="00D04970" w14:paraId="18E6B707" w14:textId="77777777" w:rsidTr="000A2CC8">
        <w:trPr>
          <w:trHeight w:val="59"/>
          <w:jc w:val="center"/>
        </w:trPr>
        <w:tc>
          <w:tcPr>
            <w:tcW w:w="3796" w:type="dxa"/>
            <w:tcBorders>
              <w:top w:val="nil"/>
              <w:left w:val="nil"/>
              <w:bottom w:val="single" w:sz="4" w:space="0" w:color="auto"/>
              <w:right w:val="nil"/>
            </w:tcBorders>
            <w:noWrap/>
            <w:vAlign w:val="center"/>
            <w:hideMark/>
          </w:tcPr>
          <w:p w14:paraId="0DA56DD2" w14:textId="77777777" w:rsidR="00D04970" w:rsidRPr="00D04970" w:rsidRDefault="00D04970" w:rsidP="00D04970">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 </w:t>
            </w:r>
          </w:p>
        </w:tc>
        <w:tc>
          <w:tcPr>
            <w:tcW w:w="1317" w:type="dxa"/>
            <w:tcBorders>
              <w:top w:val="nil"/>
              <w:left w:val="nil"/>
              <w:bottom w:val="single" w:sz="4" w:space="0" w:color="auto"/>
              <w:right w:val="nil"/>
            </w:tcBorders>
            <w:noWrap/>
            <w:vAlign w:val="center"/>
            <w:hideMark/>
          </w:tcPr>
          <w:p w14:paraId="1E72D208" w14:textId="77777777" w:rsidR="00D04970" w:rsidRPr="00D04970" w:rsidRDefault="00D04970" w:rsidP="00DC4053">
            <w:pPr>
              <w:spacing w:after="0" w:line="240" w:lineRule="auto"/>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O</w:t>
            </w:r>
          </w:p>
        </w:tc>
        <w:tc>
          <w:tcPr>
            <w:tcW w:w="1796" w:type="dxa"/>
            <w:tcBorders>
              <w:top w:val="nil"/>
              <w:left w:val="nil"/>
              <w:bottom w:val="single" w:sz="4" w:space="0" w:color="auto"/>
              <w:right w:val="nil"/>
            </w:tcBorders>
            <w:noWrap/>
            <w:vAlign w:val="center"/>
            <w:hideMark/>
          </w:tcPr>
          <w:p w14:paraId="35F02DFC"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14 (23.3)</w:t>
            </w:r>
          </w:p>
        </w:tc>
        <w:tc>
          <w:tcPr>
            <w:tcW w:w="1800" w:type="dxa"/>
            <w:tcBorders>
              <w:top w:val="nil"/>
              <w:left w:val="nil"/>
              <w:bottom w:val="single" w:sz="4" w:space="0" w:color="auto"/>
              <w:right w:val="nil"/>
            </w:tcBorders>
            <w:noWrap/>
            <w:vAlign w:val="center"/>
            <w:hideMark/>
          </w:tcPr>
          <w:p w14:paraId="5A20F569" w14:textId="77777777"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r w:rsidRPr="00D04970">
              <w:rPr>
                <w:rFonts w:ascii="Arial" w:eastAsia="Times New Roman" w:hAnsi="Arial" w:cs="Arial"/>
                <w:color w:val="000000"/>
                <w:kern w:val="0"/>
                <w:sz w:val="20"/>
                <w:szCs w:val="20"/>
                <w:lang w:eastAsia="en-GB"/>
                <w14:ligatures w14:val="none"/>
              </w:rPr>
              <w:t>18 (30.0)</w:t>
            </w:r>
          </w:p>
        </w:tc>
        <w:tc>
          <w:tcPr>
            <w:tcW w:w="928" w:type="dxa"/>
            <w:tcBorders>
              <w:top w:val="nil"/>
              <w:left w:val="nil"/>
              <w:bottom w:val="single" w:sz="4" w:space="0" w:color="auto"/>
              <w:right w:val="nil"/>
            </w:tcBorders>
            <w:noWrap/>
            <w:vAlign w:val="center"/>
            <w:hideMark/>
          </w:tcPr>
          <w:p w14:paraId="3D73A752" w14:textId="2AA7F3DA" w:rsidR="00D04970" w:rsidRPr="00D04970" w:rsidRDefault="00D04970" w:rsidP="00DC4053">
            <w:pPr>
              <w:spacing w:after="0" w:line="240" w:lineRule="auto"/>
              <w:jc w:val="center"/>
              <w:rPr>
                <w:rFonts w:ascii="Arial" w:eastAsia="Times New Roman" w:hAnsi="Arial" w:cs="Arial"/>
                <w:color w:val="000000"/>
                <w:kern w:val="0"/>
                <w:sz w:val="20"/>
                <w:szCs w:val="20"/>
                <w:lang w:eastAsia="en-GB"/>
                <w14:ligatures w14:val="none"/>
              </w:rPr>
            </w:pPr>
          </w:p>
        </w:tc>
      </w:tr>
    </w:tbl>
    <w:p w14:paraId="356184AC" w14:textId="77777777" w:rsidR="00B4502B" w:rsidRPr="00B4502B" w:rsidRDefault="00B4502B"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84B79B9" w14:textId="77777777" w:rsidR="004315AF" w:rsidRDefault="004315AF"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4315AF" w:rsidSect="004315AF">
          <w:type w:val="continuous"/>
          <w:pgSz w:w="11906" w:h="16838"/>
          <w:pgMar w:top="1440" w:right="1440" w:bottom="1440" w:left="1440" w:header="720" w:footer="720" w:gutter="0"/>
          <w:cols w:space="720"/>
          <w:titlePg/>
          <w:docGrid w:linePitch="360"/>
        </w:sectPr>
      </w:pPr>
    </w:p>
    <w:p w14:paraId="313D234D" w14:textId="43D8A4E6" w:rsidR="00B77644" w:rsidRPr="0075155F"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75155F">
        <w:rPr>
          <w:rFonts w:ascii="Arial" w:eastAsia="Times New Roman" w:hAnsi="Arial" w:cs="Arial"/>
          <w:i/>
          <w:iCs/>
          <w:color w:val="0F1115"/>
          <w:kern w:val="0"/>
          <w:sz w:val="20"/>
          <w:szCs w:val="20"/>
          <w:lang w:eastAsia="en-GB"/>
          <w14:ligatures w14:val="none"/>
        </w:rPr>
        <w:t>Maternal and environmental factors</w:t>
      </w:r>
    </w:p>
    <w:p w14:paraId="11801412"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Table 2 shows that mothers of ASD children were significantly less likely to have taken folic acid supplements during pregnancy (66.7% vs 93.3%, </w:t>
      </w:r>
      <w:r w:rsidRPr="00062B53">
        <w:rPr>
          <w:rFonts w:ascii="Arial" w:eastAsia="Times New Roman" w:hAnsi="Arial" w:cs="Arial"/>
          <w:color w:val="0F1115"/>
          <w:kern w:val="0"/>
          <w:sz w:val="20"/>
          <w:szCs w:val="20"/>
          <w:lang w:eastAsia="en-GB"/>
          <w14:ligatures w14:val="none"/>
        </w:rPr>
        <w:t xml:space="preserve">p&lt;0.001) and were more likely to have experienced prenatal stress (13.3% vs 0.0%, p=0.003). In addition, a lower proportion of ASD </w:t>
      </w:r>
      <w:r w:rsidRPr="00062B53">
        <w:rPr>
          <w:rFonts w:ascii="Arial" w:eastAsia="Times New Roman" w:hAnsi="Arial" w:cs="Arial"/>
          <w:color w:val="0F1115"/>
          <w:kern w:val="0"/>
          <w:sz w:val="20"/>
          <w:szCs w:val="20"/>
          <w:lang w:eastAsia="en-GB"/>
          <w14:ligatures w14:val="none"/>
        </w:rPr>
        <w:lastRenderedPageBreak/>
        <w:t>children consumed milk regularly compared to controls (60.0% vs 90.0%, p&lt;0.001).</w:t>
      </w:r>
    </w:p>
    <w:p w14:paraId="0289940A" w14:textId="77777777" w:rsidR="004315AF" w:rsidRDefault="004315AF"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4315AF" w:rsidSect="004315AF">
          <w:type w:val="continuous"/>
          <w:pgSz w:w="11906" w:h="16838"/>
          <w:pgMar w:top="1440" w:right="1440" w:bottom="1440" w:left="1440" w:header="720" w:footer="720" w:gutter="0"/>
          <w:cols w:num="2" w:space="432"/>
          <w:titlePg/>
          <w:docGrid w:linePitch="360"/>
        </w:sectPr>
      </w:pPr>
    </w:p>
    <w:p w14:paraId="25A6F0A8" w14:textId="77777777" w:rsidR="00C27A04" w:rsidRPr="00062B53" w:rsidRDefault="00C27A0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98EBADF" w14:textId="79255D36" w:rsidR="00B77644" w:rsidRPr="00062B53" w:rsidRDefault="00B77644" w:rsidP="00C27A04">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Table 2</w:t>
      </w:r>
      <w:r w:rsidR="00C27A04">
        <w:rPr>
          <w:rFonts w:ascii="Arial" w:eastAsia="Times New Roman" w:hAnsi="Arial" w:cs="Arial"/>
          <w:b/>
          <w:bCs/>
          <w:color w:val="0F1115"/>
          <w:kern w:val="0"/>
          <w:sz w:val="20"/>
          <w:szCs w:val="20"/>
          <w:lang w:eastAsia="en-GB"/>
          <w14:ligatures w14:val="none"/>
        </w:rPr>
        <w:t>:</w:t>
      </w:r>
      <w:r w:rsidRPr="00062B53">
        <w:rPr>
          <w:rFonts w:ascii="Arial" w:eastAsia="Times New Roman" w:hAnsi="Arial" w:cs="Arial"/>
          <w:b/>
          <w:bCs/>
          <w:color w:val="0F1115"/>
          <w:kern w:val="0"/>
          <w:sz w:val="20"/>
          <w:szCs w:val="20"/>
          <w:lang w:eastAsia="en-GB"/>
          <w14:ligatures w14:val="none"/>
        </w:rPr>
        <w:t xml:space="preserve"> Maternal and child environmental factors</w:t>
      </w:r>
    </w:p>
    <w:tbl>
      <w:tblPr>
        <w:tblW w:w="9971" w:type="dxa"/>
        <w:jc w:val="center"/>
        <w:tblLook w:val="04A0" w:firstRow="1" w:lastRow="0" w:firstColumn="1" w:lastColumn="0" w:noHBand="0" w:noVBand="1"/>
      </w:tblPr>
      <w:tblGrid>
        <w:gridCol w:w="3456"/>
        <w:gridCol w:w="1083"/>
        <w:gridCol w:w="1311"/>
        <w:gridCol w:w="1710"/>
        <w:gridCol w:w="1372"/>
        <w:gridCol w:w="1039"/>
      </w:tblGrid>
      <w:tr w:rsidR="000F3400" w:rsidRPr="000F3400" w14:paraId="3AE5423D" w14:textId="77777777" w:rsidTr="00864DDB">
        <w:trPr>
          <w:trHeight w:val="49"/>
          <w:jc w:val="center"/>
        </w:trPr>
        <w:tc>
          <w:tcPr>
            <w:tcW w:w="3456" w:type="dxa"/>
            <w:tcBorders>
              <w:top w:val="single" w:sz="4" w:space="0" w:color="auto"/>
              <w:left w:val="nil"/>
              <w:bottom w:val="single" w:sz="4" w:space="0" w:color="auto"/>
              <w:right w:val="nil"/>
            </w:tcBorders>
            <w:noWrap/>
            <w:vAlign w:val="center"/>
            <w:hideMark/>
          </w:tcPr>
          <w:p w14:paraId="22E709AD" w14:textId="77777777" w:rsidR="000F3400" w:rsidRPr="000F3400" w:rsidRDefault="000F3400" w:rsidP="00864DDB">
            <w:pPr>
              <w:spacing w:after="0" w:line="240" w:lineRule="auto"/>
              <w:jc w:val="center"/>
              <w:rPr>
                <w:rFonts w:ascii="Arial" w:eastAsia="Times New Roman" w:hAnsi="Arial" w:cs="Arial"/>
                <w:b/>
                <w:bCs/>
                <w:color w:val="000000"/>
                <w:kern w:val="0"/>
                <w:sz w:val="20"/>
                <w:szCs w:val="20"/>
                <w:lang w:eastAsia="en-GB"/>
                <w14:ligatures w14:val="none"/>
              </w:rPr>
            </w:pPr>
            <w:r w:rsidRPr="000F3400">
              <w:rPr>
                <w:rFonts w:ascii="Arial" w:eastAsia="Times New Roman" w:hAnsi="Arial" w:cs="Arial"/>
                <w:b/>
                <w:bCs/>
                <w:color w:val="000000"/>
                <w:kern w:val="0"/>
                <w:sz w:val="20"/>
                <w:szCs w:val="20"/>
                <w:lang w:eastAsia="en-GB"/>
                <w14:ligatures w14:val="none"/>
              </w:rPr>
              <w:t>Variable</w:t>
            </w:r>
          </w:p>
        </w:tc>
        <w:tc>
          <w:tcPr>
            <w:tcW w:w="1083" w:type="dxa"/>
            <w:tcBorders>
              <w:top w:val="single" w:sz="4" w:space="0" w:color="auto"/>
              <w:left w:val="nil"/>
              <w:bottom w:val="single" w:sz="4" w:space="0" w:color="auto"/>
              <w:right w:val="nil"/>
            </w:tcBorders>
            <w:noWrap/>
            <w:vAlign w:val="center"/>
            <w:hideMark/>
          </w:tcPr>
          <w:p w14:paraId="146AEC38" w14:textId="77777777" w:rsidR="000F3400" w:rsidRPr="000F3400" w:rsidRDefault="000F3400" w:rsidP="00864DDB">
            <w:pPr>
              <w:spacing w:after="0" w:line="240" w:lineRule="auto"/>
              <w:jc w:val="center"/>
              <w:rPr>
                <w:rFonts w:ascii="Arial" w:eastAsia="Times New Roman" w:hAnsi="Arial" w:cs="Arial"/>
                <w:b/>
                <w:bCs/>
                <w:color w:val="000000"/>
                <w:kern w:val="0"/>
                <w:sz w:val="20"/>
                <w:szCs w:val="20"/>
                <w:lang w:eastAsia="en-GB"/>
                <w14:ligatures w14:val="none"/>
              </w:rPr>
            </w:pPr>
            <w:r w:rsidRPr="000F3400">
              <w:rPr>
                <w:rFonts w:ascii="Arial" w:eastAsia="Times New Roman" w:hAnsi="Arial" w:cs="Arial"/>
                <w:b/>
                <w:bCs/>
                <w:color w:val="000000"/>
                <w:kern w:val="0"/>
                <w:sz w:val="20"/>
                <w:szCs w:val="20"/>
                <w:lang w:eastAsia="en-GB"/>
                <w14:ligatures w14:val="none"/>
              </w:rPr>
              <w:t>Category</w:t>
            </w:r>
          </w:p>
        </w:tc>
        <w:tc>
          <w:tcPr>
            <w:tcW w:w="1311" w:type="dxa"/>
            <w:tcBorders>
              <w:top w:val="single" w:sz="4" w:space="0" w:color="auto"/>
              <w:left w:val="nil"/>
              <w:bottom w:val="single" w:sz="4" w:space="0" w:color="auto"/>
              <w:right w:val="nil"/>
            </w:tcBorders>
            <w:noWrap/>
            <w:vAlign w:val="center"/>
            <w:hideMark/>
          </w:tcPr>
          <w:p w14:paraId="64F4E6ED" w14:textId="77777777" w:rsidR="000F3400" w:rsidRPr="000F3400" w:rsidRDefault="000F3400" w:rsidP="00864DDB">
            <w:pPr>
              <w:spacing w:after="0" w:line="240" w:lineRule="auto"/>
              <w:jc w:val="center"/>
              <w:rPr>
                <w:rFonts w:ascii="Arial" w:eastAsia="Times New Roman" w:hAnsi="Arial" w:cs="Arial"/>
                <w:b/>
                <w:bCs/>
                <w:color w:val="000000"/>
                <w:kern w:val="0"/>
                <w:sz w:val="20"/>
                <w:szCs w:val="20"/>
                <w:lang w:eastAsia="en-GB"/>
                <w14:ligatures w14:val="none"/>
              </w:rPr>
            </w:pPr>
            <w:r w:rsidRPr="000F3400">
              <w:rPr>
                <w:rFonts w:ascii="Arial" w:eastAsia="Times New Roman" w:hAnsi="Arial" w:cs="Arial"/>
                <w:b/>
                <w:bCs/>
                <w:color w:val="000000"/>
                <w:kern w:val="0"/>
                <w:sz w:val="20"/>
                <w:szCs w:val="20"/>
                <w:lang w:eastAsia="en-GB"/>
                <w14:ligatures w14:val="none"/>
              </w:rPr>
              <w:t>ASD (n=60) n (%)</w:t>
            </w:r>
          </w:p>
        </w:tc>
        <w:tc>
          <w:tcPr>
            <w:tcW w:w="1710" w:type="dxa"/>
            <w:tcBorders>
              <w:top w:val="single" w:sz="4" w:space="0" w:color="auto"/>
              <w:left w:val="nil"/>
              <w:bottom w:val="single" w:sz="4" w:space="0" w:color="auto"/>
              <w:right w:val="nil"/>
            </w:tcBorders>
            <w:noWrap/>
            <w:vAlign w:val="center"/>
            <w:hideMark/>
          </w:tcPr>
          <w:p w14:paraId="224BEFFC" w14:textId="77777777" w:rsidR="000F3400" w:rsidRPr="000F3400" w:rsidRDefault="000F3400" w:rsidP="00864DDB">
            <w:pPr>
              <w:spacing w:after="0" w:line="240" w:lineRule="auto"/>
              <w:jc w:val="center"/>
              <w:rPr>
                <w:rFonts w:ascii="Arial" w:eastAsia="Times New Roman" w:hAnsi="Arial" w:cs="Arial"/>
                <w:b/>
                <w:bCs/>
                <w:color w:val="000000"/>
                <w:kern w:val="0"/>
                <w:sz w:val="20"/>
                <w:szCs w:val="20"/>
                <w:lang w:eastAsia="en-GB"/>
                <w14:ligatures w14:val="none"/>
              </w:rPr>
            </w:pPr>
            <w:r w:rsidRPr="000F3400">
              <w:rPr>
                <w:rFonts w:ascii="Arial" w:eastAsia="Times New Roman" w:hAnsi="Arial" w:cs="Arial"/>
                <w:b/>
                <w:bCs/>
                <w:color w:val="000000"/>
                <w:kern w:val="0"/>
                <w:sz w:val="20"/>
                <w:szCs w:val="20"/>
                <w:lang w:eastAsia="en-GB"/>
                <w14:ligatures w14:val="none"/>
              </w:rPr>
              <w:t>Controls (n=60) n (%)</w:t>
            </w:r>
          </w:p>
        </w:tc>
        <w:tc>
          <w:tcPr>
            <w:tcW w:w="1372" w:type="dxa"/>
            <w:tcBorders>
              <w:top w:val="single" w:sz="4" w:space="0" w:color="auto"/>
              <w:left w:val="nil"/>
              <w:bottom w:val="single" w:sz="4" w:space="0" w:color="auto"/>
              <w:right w:val="nil"/>
            </w:tcBorders>
            <w:noWrap/>
            <w:vAlign w:val="center"/>
            <w:hideMark/>
          </w:tcPr>
          <w:p w14:paraId="564260E0" w14:textId="77777777" w:rsidR="000F3400" w:rsidRPr="000F3400" w:rsidRDefault="000F3400" w:rsidP="00864DDB">
            <w:pPr>
              <w:spacing w:after="0" w:line="240" w:lineRule="auto"/>
              <w:jc w:val="center"/>
              <w:rPr>
                <w:rFonts w:ascii="Arial" w:eastAsia="Times New Roman" w:hAnsi="Arial" w:cs="Arial"/>
                <w:b/>
                <w:bCs/>
                <w:color w:val="000000"/>
                <w:kern w:val="0"/>
                <w:sz w:val="20"/>
                <w:szCs w:val="20"/>
                <w:lang w:eastAsia="en-GB"/>
                <w14:ligatures w14:val="none"/>
              </w:rPr>
            </w:pPr>
            <w:r w:rsidRPr="000F3400">
              <w:rPr>
                <w:rFonts w:ascii="Arial" w:eastAsia="Times New Roman" w:hAnsi="Arial" w:cs="Arial"/>
                <w:b/>
                <w:bCs/>
                <w:color w:val="000000"/>
                <w:kern w:val="0"/>
                <w:sz w:val="20"/>
                <w:szCs w:val="20"/>
                <w:lang w:eastAsia="en-GB"/>
                <w14:ligatures w14:val="none"/>
              </w:rPr>
              <w:t>Chi</w:t>
            </w:r>
            <w:r w:rsidRPr="000F3400">
              <w:rPr>
                <w:rFonts w:ascii="Arial" w:eastAsia="Times New Roman" w:hAnsi="Arial" w:cs="Arial"/>
                <w:b/>
                <w:bCs/>
                <w:color w:val="000000"/>
                <w:kern w:val="0"/>
                <w:sz w:val="20"/>
                <w:szCs w:val="20"/>
                <w:lang w:eastAsia="en-GB"/>
                <w14:ligatures w14:val="none"/>
              </w:rPr>
              <w:noBreakHyphen/>
              <w:t>square</w:t>
            </w:r>
          </w:p>
        </w:tc>
        <w:tc>
          <w:tcPr>
            <w:tcW w:w="1039" w:type="dxa"/>
            <w:tcBorders>
              <w:top w:val="single" w:sz="4" w:space="0" w:color="auto"/>
              <w:left w:val="nil"/>
              <w:bottom w:val="single" w:sz="4" w:space="0" w:color="auto"/>
              <w:right w:val="nil"/>
            </w:tcBorders>
            <w:noWrap/>
            <w:vAlign w:val="center"/>
            <w:hideMark/>
          </w:tcPr>
          <w:p w14:paraId="4B8B5268" w14:textId="77777777" w:rsidR="000F3400" w:rsidRPr="000F3400" w:rsidRDefault="000F3400" w:rsidP="00864DDB">
            <w:pPr>
              <w:spacing w:after="0" w:line="240" w:lineRule="auto"/>
              <w:jc w:val="center"/>
              <w:rPr>
                <w:rFonts w:ascii="Arial" w:eastAsia="Times New Roman" w:hAnsi="Arial" w:cs="Arial"/>
                <w:b/>
                <w:bCs/>
                <w:color w:val="000000"/>
                <w:kern w:val="0"/>
                <w:sz w:val="20"/>
                <w:szCs w:val="20"/>
                <w:lang w:eastAsia="en-GB"/>
                <w14:ligatures w14:val="none"/>
              </w:rPr>
            </w:pPr>
            <w:r w:rsidRPr="000F3400">
              <w:rPr>
                <w:rFonts w:ascii="Arial" w:eastAsia="Times New Roman" w:hAnsi="Arial" w:cs="Arial"/>
                <w:b/>
                <w:bCs/>
                <w:color w:val="000000"/>
                <w:kern w:val="0"/>
                <w:sz w:val="20"/>
                <w:szCs w:val="20"/>
                <w:lang w:eastAsia="en-GB"/>
                <w14:ligatures w14:val="none"/>
              </w:rPr>
              <w:t>P</w:t>
            </w:r>
            <w:r w:rsidRPr="000F3400">
              <w:rPr>
                <w:rFonts w:ascii="Arial" w:eastAsia="Times New Roman" w:hAnsi="Arial" w:cs="Arial"/>
                <w:b/>
                <w:bCs/>
                <w:color w:val="000000"/>
                <w:kern w:val="0"/>
                <w:sz w:val="20"/>
                <w:szCs w:val="20"/>
                <w:lang w:eastAsia="en-GB"/>
                <w14:ligatures w14:val="none"/>
              </w:rPr>
              <w:noBreakHyphen/>
              <w:t>value</w:t>
            </w:r>
          </w:p>
        </w:tc>
      </w:tr>
      <w:tr w:rsidR="000F3400" w:rsidRPr="000F3400" w14:paraId="5BA360B3" w14:textId="77777777" w:rsidTr="00864DDB">
        <w:trPr>
          <w:trHeight w:val="49"/>
          <w:jc w:val="center"/>
        </w:trPr>
        <w:tc>
          <w:tcPr>
            <w:tcW w:w="3456" w:type="dxa"/>
            <w:tcBorders>
              <w:top w:val="nil"/>
              <w:left w:val="nil"/>
              <w:bottom w:val="nil"/>
              <w:right w:val="nil"/>
            </w:tcBorders>
            <w:noWrap/>
            <w:vAlign w:val="center"/>
            <w:hideMark/>
          </w:tcPr>
          <w:p w14:paraId="082AEB91"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Maternal folic acid supplementation</w:t>
            </w:r>
          </w:p>
        </w:tc>
        <w:tc>
          <w:tcPr>
            <w:tcW w:w="1083" w:type="dxa"/>
            <w:tcBorders>
              <w:top w:val="nil"/>
              <w:left w:val="nil"/>
              <w:bottom w:val="nil"/>
              <w:right w:val="nil"/>
            </w:tcBorders>
            <w:noWrap/>
            <w:vAlign w:val="center"/>
            <w:hideMark/>
          </w:tcPr>
          <w:p w14:paraId="719BBF23"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Yes</w:t>
            </w:r>
          </w:p>
        </w:tc>
        <w:tc>
          <w:tcPr>
            <w:tcW w:w="1311" w:type="dxa"/>
            <w:tcBorders>
              <w:top w:val="nil"/>
              <w:left w:val="nil"/>
              <w:bottom w:val="nil"/>
              <w:right w:val="nil"/>
            </w:tcBorders>
            <w:noWrap/>
            <w:vAlign w:val="center"/>
            <w:hideMark/>
          </w:tcPr>
          <w:p w14:paraId="7F009B05"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40 (66.7)</w:t>
            </w:r>
          </w:p>
        </w:tc>
        <w:tc>
          <w:tcPr>
            <w:tcW w:w="1710" w:type="dxa"/>
            <w:tcBorders>
              <w:top w:val="nil"/>
              <w:left w:val="nil"/>
              <w:bottom w:val="nil"/>
              <w:right w:val="nil"/>
            </w:tcBorders>
            <w:noWrap/>
            <w:vAlign w:val="center"/>
            <w:hideMark/>
          </w:tcPr>
          <w:p w14:paraId="55481204"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56 (93.3)</w:t>
            </w:r>
          </w:p>
        </w:tc>
        <w:tc>
          <w:tcPr>
            <w:tcW w:w="1372" w:type="dxa"/>
            <w:tcBorders>
              <w:top w:val="nil"/>
              <w:left w:val="nil"/>
              <w:bottom w:val="nil"/>
              <w:right w:val="nil"/>
            </w:tcBorders>
            <w:noWrap/>
            <w:vAlign w:val="center"/>
            <w:hideMark/>
          </w:tcPr>
          <w:p w14:paraId="48E7FF64"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13.33</w:t>
            </w:r>
          </w:p>
        </w:tc>
        <w:tc>
          <w:tcPr>
            <w:tcW w:w="1039" w:type="dxa"/>
            <w:tcBorders>
              <w:top w:val="nil"/>
              <w:left w:val="nil"/>
              <w:bottom w:val="nil"/>
              <w:right w:val="nil"/>
            </w:tcBorders>
            <w:noWrap/>
            <w:vAlign w:val="center"/>
            <w:hideMark/>
          </w:tcPr>
          <w:p w14:paraId="073D744D"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&lt;0.001</w:t>
            </w:r>
          </w:p>
        </w:tc>
      </w:tr>
      <w:tr w:rsidR="000F3400" w:rsidRPr="000F3400" w14:paraId="7F4CE79B" w14:textId="77777777" w:rsidTr="00864DDB">
        <w:trPr>
          <w:trHeight w:val="59"/>
          <w:jc w:val="center"/>
        </w:trPr>
        <w:tc>
          <w:tcPr>
            <w:tcW w:w="3456" w:type="dxa"/>
            <w:tcBorders>
              <w:top w:val="nil"/>
              <w:left w:val="nil"/>
              <w:bottom w:val="nil"/>
              <w:right w:val="nil"/>
            </w:tcBorders>
            <w:noWrap/>
            <w:vAlign w:val="center"/>
            <w:hideMark/>
          </w:tcPr>
          <w:p w14:paraId="25C18BBF"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p>
        </w:tc>
        <w:tc>
          <w:tcPr>
            <w:tcW w:w="1083" w:type="dxa"/>
            <w:tcBorders>
              <w:top w:val="nil"/>
              <w:left w:val="nil"/>
              <w:bottom w:val="nil"/>
              <w:right w:val="nil"/>
            </w:tcBorders>
            <w:noWrap/>
            <w:vAlign w:val="center"/>
            <w:hideMark/>
          </w:tcPr>
          <w:p w14:paraId="0D1AD443"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No</w:t>
            </w:r>
          </w:p>
        </w:tc>
        <w:tc>
          <w:tcPr>
            <w:tcW w:w="1311" w:type="dxa"/>
            <w:tcBorders>
              <w:top w:val="nil"/>
              <w:left w:val="nil"/>
              <w:bottom w:val="nil"/>
              <w:right w:val="nil"/>
            </w:tcBorders>
            <w:noWrap/>
            <w:vAlign w:val="center"/>
            <w:hideMark/>
          </w:tcPr>
          <w:p w14:paraId="594DD8D1"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20 (33.3)</w:t>
            </w:r>
          </w:p>
        </w:tc>
        <w:tc>
          <w:tcPr>
            <w:tcW w:w="1710" w:type="dxa"/>
            <w:tcBorders>
              <w:top w:val="nil"/>
              <w:left w:val="nil"/>
              <w:bottom w:val="nil"/>
              <w:right w:val="nil"/>
            </w:tcBorders>
            <w:noWrap/>
            <w:vAlign w:val="center"/>
            <w:hideMark/>
          </w:tcPr>
          <w:p w14:paraId="1A83B8E6"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4 (6.7)</w:t>
            </w:r>
          </w:p>
        </w:tc>
        <w:tc>
          <w:tcPr>
            <w:tcW w:w="1372" w:type="dxa"/>
            <w:tcBorders>
              <w:top w:val="nil"/>
              <w:left w:val="nil"/>
              <w:bottom w:val="nil"/>
              <w:right w:val="nil"/>
            </w:tcBorders>
            <w:noWrap/>
            <w:vAlign w:val="center"/>
            <w:hideMark/>
          </w:tcPr>
          <w:p w14:paraId="4A590368"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p>
        </w:tc>
        <w:tc>
          <w:tcPr>
            <w:tcW w:w="1039" w:type="dxa"/>
            <w:tcBorders>
              <w:top w:val="nil"/>
              <w:left w:val="nil"/>
              <w:bottom w:val="nil"/>
              <w:right w:val="nil"/>
            </w:tcBorders>
            <w:noWrap/>
            <w:vAlign w:val="center"/>
            <w:hideMark/>
          </w:tcPr>
          <w:p w14:paraId="53E47AEE" w14:textId="77777777" w:rsidR="000F3400" w:rsidRPr="000F3400" w:rsidRDefault="000F3400" w:rsidP="00864DDB">
            <w:pPr>
              <w:spacing w:after="0" w:line="240" w:lineRule="auto"/>
              <w:jc w:val="center"/>
              <w:rPr>
                <w:rFonts w:ascii="Times New Roman" w:eastAsia="Times New Roman" w:hAnsi="Times New Roman" w:cs="Times New Roman"/>
                <w:kern w:val="0"/>
                <w:sz w:val="20"/>
                <w:szCs w:val="20"/>
                <w:lang w:eastAsia="en-GB"/>
                <w14:ligatures w14:val="none"/>
              </w:rPr>
            </w:pPr>
          </w:p>
        </w:tc>
      </w:tr>
      <w:tr w:rsidR="000F3400" w:rsidRPr="000F3400" w14:paraId="006AD0DF" w14:textId="77777777" w:rsidTr="00864DDB">
        <w:trPr>
          <w:trHeight w:val="59"/>
          <w:jc w:val="center"/>
        </w:trPr>
        <w:tc>
          <w:tcPr>
            <w:tcW w:w="3456" w:type="dxa"/>
            <w:tcBorders>
              <w:top w:val="nil"/>
              <w:left w:val="nil"/>
              <w:bottom w:val="nil"/>
              <w:right w:val="nil"/>
            </w:tcBorders>
            <w:noWrap/>
            <w:vAlign w:val="center"/>
            <w:hideMark/>
          </w:tcPr>
          <w:p w14:paraId="445E1BC5"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Maternal prenatal stress exposure</w:t>
            </w:r>
          </w:p>
        </w:tc>
        <w:tc>
          <w:tcPr>
            <w:tcW w:w="1083" w:type="dxa"/>
            <w:tcBorders>
              <w:top w:val="nil"/>
              <w:left w:val="nil"/>
              <w:bottom w:val="nil"/>
              <w:right w:val="nil"/>
            </w:tcBorders>
            <w:noWrap/>
            <w:vAlign w:val="center"/>
            <w:hideMark/>
          </w:tcPr>
          <w:p w14:paraId="695C3526"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Yes</w:t>
            </w:r>
          </w:p>
        </w:tc>
        <w:tc>
          <w:tcPr>
            <w:tcW w:w="1311" w:type="dxa"/>
            <w:tcBorders>
              <w:top w:val="nil"/>
              <w:left w:val="nil"/>
              <w:bottom w:val="nil"/>
              <w:right w:val="nil"/>
            </w:tcBorders>
            <w:noWrap/>
            <w:vAlign w:val="center"/>
            <w:hideMark/>
          </w:tcPr>
          <w:p w14:paraId="116FD1D1"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8 (13.3)</w:t>
            </w:r>
          </w:p>
        </w:tc>
        <w:tc>
          <w:tcPr>
            <w:tcW w:w="1710" w:type="dxa"/>
            <w:tcBorders>
              <w:top w:val="nil"/>
              <w:left w:val="nil"/>
              <w:bottom w:val="nil"/>
              <w:right w:val="nil"/>
            </w:tcBorders>
            <w:noWrap/>
            <w:vAlign w:val="center"/>
            <w:hideMark/>
          </w:tcPr>
          <w:p w14:paraId="09D0FEB2"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0 (0.0)</w:t>
            </w:r>
          </w:p>
        </w:tc>
        <w:tc>
          <w:tcPr>
            <w:tcW w:w="1372" w:type="dxa"/>
            <w:tcBorders>
              <w:top w:val="nil"/>
              <w:left w:val="nil"/>
              <w:bottom w:val="nil"/>
              <w:right w:val="nil"/>
            </w:tcBorders>
            <w:noWrap/>
            <w:vAlign w:val="center"/>
            <w:hideMark/>
          </w:tcPr>
          <w:p w14:paraId="31C795E2"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8.57</w:t>
            </w:r>
          </w:p>
        </w:tc>
        <w:tc>
          <w:tcPr>
            <w:tcW w:w="1039" w:type="dxa"/>
            <w:tcBorders>
              <w:top w:val="nil"/>
              <w:left w:val="nil"/>
              <w:bottom w:val="nil"/>
              <w:right w:val="nil"/>
            </w:tcBorders>
            <w:noWrap/>
            <w:vAlign w:val="center"/>
            <w:hideMark/>
          </w:tcPr>
          <w:p w14:paraId="50CDC0D0"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0.003</w:t>
            </w:r>
          </w:p>
        </w:tc>
      </w:tr>
      <w:tr w:rsidR="000F3400" w:rsidRPr="000F3400" w14:paraId="26C96F4A" w14:textId="77777777" w:rsidTr="00864DDB">
        <w:trPr>
          <w:trHeight w:val="59"/>
          <w:jc w:val="center"/>
        </w:trPr>
        <w:tc>
          <w:tcPr>
            <w:tcW w:w="3456" w:type="dxa"/>
            <w:tcBorders>
              <w:top w:val="nil"/>
              <w:left w:val="nil"/>
              <w:bottom w:val="nil"/>
              <w:right w:val="nil"/>
            </w:tcBorders>
            <w:noWrap/>
            <w:vAlign w:val="center"/>
            <w:hideMark/>
          </w:tcPr>
          <w:p w14:paraId="1CDB9E4E"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p>
        </w:tc>
        <w:tc>
          <w:tcPr>
            <w:tcW w:w="1083" w:type="dxa"/>
            <w:tcBorders>
              <w:top w:val="nil"/>
              <w:left w:val="nil"/>
              <w:bottom w:val="nil"/>
              <w:right w:val="nil"/>
            </w:tcBorders>
            <w:noWrap/>
            <w:vAlign w:val="center"/>
            <w:hideMark/>
          </w:tcPr>
          <w:p w14:paraId="3054DF05"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No</w:t>
            </w:r>
          </w:p>
        </w:tc>
        <w:tc>
          <w:tcPr>
            <w:tcW w:w="1311" w:type="dxa"/>
            <w:tcBorders>
              <w:top w:val="nil"/>
              <w:left w:val="nil"/>
              <w:bottom w:val="nil"/>
              <w:right w:val="nil"/>
            </w:tcBorders>
            <w:noWrap/>
            <w:vAlign w:val="center"/>
            <w:hideMark/>
          </w:tcPr>
          <w:p w14:paraId="42FC8923"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52 (86.7)</w:t>
            </w:r>
          </w:p>
        </w:tc>
        <w:tc>
          <w:tcPr>
            <w:tcW w:w="1710" w:type="dxa"/>
            <w:tcBorders>
              <w:top w:val="nil"/>
              <w:left w:val="nil"/>
              <w:bottom w:val="nil"/>
              <w:right w:val="nil"/>
            </w:tcBorders>
            <w:noWrap/>
            <w:vAlign w:val="center"/>
            <w:hideMark/>
          </w:tcPr>
          <w:p w14:paraId="6D25DC64"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60 (100.0)</w:t>
            </w:r>
          </w:p>
        </w:tc>
        <w:tc>
          <w:tcPr>
            <w:tcW w:w="1372" w:type="dxa"/>
            <w:tcBorders>
              <w:top w:val="nil"/>
              <w:left w:val="nil"/>
              <w:bottom w:val="nil"/>
              <w:right w:val="nil"/>
            </w:tcBorders>
            <w:noWrap/>
            <w:vAlign w:val="center"/>
            <w:hideMark/>
          </w:tcPr>
          <w:p w14:paraId="6084D439"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p>
        </w:tc>
        <w:tc>
          <w:tcPr>
            <w:tcW w:w="1039" w:type="dxa"/>
            <w:tcBorders>
              <w:top w:val="nil"/>
              <w:left w:val="nil"/>
              <w:bottom w:val="nil"/>
              <w:right w:val="nil"/>
            </w:tcBorders>
            <w:noWrap/>
            <w:vAlign w:val="center"/>
            <w:hideMark/>
          </w:tcPr>
          <w:p w14:paraId="62CE7E20" w14:textId="77777777" w:rsidR="000F3400" w:rsidRPr="000F3400" w:rsidRDefault="000F3400" w:rsidP="00864DDB">
            <w:pPr>
              <w:spacing w:after="0" w:line="240" w:lineRule="auto"/>
              <w:jc w:val="center"/>
              <w:rPr>
                <w:rFonts w:ascii="Times New Roman" w:eastAsia="Times New Roman" w:hAnsi="Times New Roman" w:cs="Times New Roman"/>
                <w:kern w:val="0"/>
                <w:sz w:val="20"/>
                <w:szCs w:val="20"/>
                <w:lang w:eastAsia="en-GB"/>
                <w14:ligatures w14:val="none"/>
              </w:rPr>
            </w:pPr>
          </w:p>
        </w:tc>
      </w:tr>
      <w:tr w:rsidR="000F3400" w:rsidRPr="000F3400" w14:paraId="72913A30" w14:textId="77777777" w:rsidTr="00864DDB">
        <w:trPr>
          <w:trHeight w:val="59"/>
          <w:jc w:val="center"/>
        </w:trPr>
        <w:tc>
          <w:tcPr>
            <w:tcW w:w="3456" w:type="dxa"/>
            <w:tcBorders>
              <w:top w:val="nil"/>
              <w:left w:val="nil"/>
              <w:bottom w:val="nil"/>
              <w:right w:val="nil"/>
            </w:tcBorders>
            <w:noWrap/>
            <w:vAlign w:val="center"/>
            <w:hideMark/>
          </w:tcPr>
          <w:p w14:paraId="18BF1F4F"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Child’s milk consumption</w:t>
            </w:r>
          </w:p>
        </w:tc>
        <w:tc>
          <w:tcPr>
            <w:tcW w:w="1083" w:type="dxa"/>
            <w:tcBorders>
              <w:top w:val="nil"/>
              <w:left w:val="nil"/>
              <w:bottom w:val="nil"/>
              <w:right w:val="nil"/>
            </w:tcBorders>
            <w:noWrap/>
            <w:vAlign w:val="center"/>
            <w:hideMark/>
          </w:tcPr>
          <w:p w14:paraId="7720E0BA"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Yes</w:t>
            </w:r>
          </w:p>
        </w:tc>
        <w:tc>
          <w:tcPr>
            <w:tcW w:w="1311" w:type="dxa"/>
            <w:tcBorders>
              <w:top w:val="nil"/>
              <w:left w:val="nil"/>
              <w:bottom w:val="nil"/>
              <w:right w:val="nil"/>
            </w:tcBorders>
            <w:noWrap/>
            <w:vAlign w:val="center"/>
            <w:hideMark/>
          </w:tcPr>
          <w:p w14:paraId="435A4744"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36 (60.0)</w:t>
            </w:r>
          </w:p>
        </w:tc>
        <w:tc>
          <w:tcPr>
            <w:tcW w:w="1710" w:type="dxa"/>
            <w:tcBorders>
              <w:top w:val="nil"/>
              <w:left w:val="nil"/>
              <w:bottom w:val="nil"/>
              <w:right w:val="nil"/>
            </w:tcBorders>
            <w:noWrap/>
            <w:vAlign w:val="center"/>
            <w:hideMark/>
          </w:tcPr>
          <w:p w14:paraId="796CD3BE"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54 (90.0)</w:t>
            </w:r>
          </w:p>
        </w:tc>
        <w:tc>
          <w:tcPr>
            <w:tcW w:w="1372" w:type="dxa"/>
            <w:tcBorders>
              <w:top w:val="nil"/>
              <w:left w:val="nil"/>
              <w:bottom w:val="nil"/>
              <w:right w:val="nil"/>
            </w:tcBorders>
            <w:noWrap/>
            <w:vAlign w:val="center"/>
            <w:hideMark/>
          </w:tcPr>
          <w:p w14:paraId="5F040A45"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14.4</w:t>
            </w:r>
          </w:p>
        </w:tc>
        <w:tc>
          <w:tcPr>
            <w:tcW w:w="1039" w:type="dxa"/>
            <w:tcBorders>
              <w:top w:val="nil"/>
              <w:left w:val="nil"/>
              <w:bottom w:val="nil"/>
              <w:right w:val="nil"/>
            </w:tcBorders>
            <w:noWrap/>
            <w:vAlign w:val="center"/>
            <w:hideMark/>
          </w:tcPr>
          <w:p w14:paraId="390AE8C9"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&lt;0.001</w:t>
            </w:r>
          </w:p>
        </w:tc>
      </w:tr>
      <w:tr w:rsidR="000F3400" w:rsidRPr="000F3400" w14:paraId="6CD18833" w14:textId="77777777" w:rsidTr="00864DDB">
        <w:trPr>
          <w:trHeight w:val="59"/>
          <w:jc w:val="center"/>
        </w:trPr>
        <w:tc>
          <w:tcPr>
            <w:tcW w:w="3456" w:type="dxa"/>
            <w:tcBorders>
              <w:top w:val="nil"/>
              <w:left w:val="nil"/>
              <w:bottom w:val="single" w:sz="4" w:space="0" w:color="auto"/>
              <w:right w:val="nil"/>
            </w:tcBorders>
            <w:noWrap/>
            <w:vAlign w:val="center"/>
            <w:hideMark/>
          </w:tcPr>
          <w:p w14:paraId="4872351B"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 </w:t>
            </w:r>
          </w:p>
        </w:tc>
        <w:tc>
          <w:tcPr>
            <w:tcW w:w="1083" w:type="dxa"/>
            <w:tcBorders>
              <w:top w:val="nil"/>
              <w:left w:val="nil"/>
              <w:bottom w:val="single" w:sz="4" w:space="0" w:color="auto"/>
              <w:right w:val="nil"/>
            </w:tcBorders>
            <w:noWrap/>
            <w:vAlign w:val="center"/>
            <w:hideMark/>
          </w:tcPr>
          <w:p w14:paraId="606C156A" w14:textId="77777777" w:rsidR="000F3400" w:rsidRPr="000F3400" w:rsidRDefault="000F3400" w:rsidP="000F3400">
            <w:pPr>
              <w:spacing w:after="0" w:line="240" w:lineRule="auto"/>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No</w:t>
            </w:r>
          </w:p>
        </w:tc>
        <w:tc>
          <w:tcPr>
            <w:tcW w:w="1311" w:type="dxa"/>
            <w:tcBorders>
              <w:top w:val="nil"/>
              <w:left w:val="nil"/>
              <w:bottom w:val="single" w:sz="4" w:space="0" w:color="auto"/>
              <w:right w:val="nil"/>
            </w:tcBorders>
            <w:noWrap/>
            <w:vAlign w:val="center"/>
            <w:hideMark/>
          </w:tcPr>
          <w:p w14:paraId="2D7E5DB9"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24 (40.0)</w:t>
            </w:r>
          </w:p>
        </w:tc>
        <w:tc>
          <w:tcPr>
            <w:tcW w:w="1710" w:type="dxa"/>
            <w:tcBorders>
              <w:top w:val="nil"/>
              <w:left w:val="nil"/>
              <w:bottom w:val="single" w:sz="4" w:space="0" w:color="auto"/>
              <w:right w:val="nil"/>
            </w:tcBorders>
            <w:noWrap/>
            <w:vAlign w:val="center"/>
            <w:hideMark/>
          </w:tcPr>
          <w:p w14:paraId="63DE505B" w14:textId="77777777"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r w:rsidRPr="000F3400">
              <w:rPr>
                <w:rFonts w:ascii="Arial" w:eastAsia="Times New Roman" w:hAnsi="Arial" w:cs="Arial"/>
                <w:color w:val="000000"/>
                <w:kern w:val="0"/>
                <w:sz w:val="20"/>
                <w:szCs w:val="20"/>
                <w:lang w:eastAsia="en-GB"/>
                <w14:ligatures w14:val="none"/>
              </w:rPr>
              <w:t>6 (10.0)</w:t>
            </w:r>
          </w:p>
        </w:tc>
        <w:tc>
          <w:tcPr>
            <w:tcW w:w="1372" w:type="dxa"/>
            <w:tcBorders>
              <w:top w:val="nil"/>
              <w:left w:val="nil"/>
              <w:bottom w:val="single" w:sz="4" w:space="0" w:color="auto"/>
              <w:right w:val="nil"/>
            </w:tcBorders>
            <w:noWrap/>
            <w:vAlign w:val="center"/>
            <w:hideMark/>
          </w:tcPr>
          <w:p w14:paraId="62BD9E34" w14:textId="02141516"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p>
        </w:tc>
        <w:tc>
          <w:tcPr>
            <w:tcW w:w="1039" w:type="dxa"/>
            <w:tcBorders>
              <w:top w:val="nil"/>
              <w:left w:val="nil"/>
              <w:bottom w:val="single" w:sz="4" w:space="0" w:color="auto"/>
              <w:right w:val="nil"/>
            </w:tcBorders>
            <w:noWrap/>
            <w:vAlign w:val="center"/>
            <w:hideMark/>
          </w:tcPr>
          <w:p w14:paraId="1F6B275B" w14:textId="5779AABB" w:rsidR="000F3400" w:rsidRPr="000F3400" w:rsidRDefault="000F3400" w:rsidP="00864DDB">
            <w:pPr>
              <w:spacing w:after="0" w:line="240" w:lineRule="auto"/>
              <w:jc w:val="center"/>
              <w:rPr>
                <w:rFonts w:ascii="Arial" w:eastAsia="Times New Roman" w:hAnsi="Arial" w:cs="Arial"/>
                <w:color w:val="000000"/>
                <w:kern w:val="0"/>
                <w:sz w:val="20"/>
                <w:szCs w:val="20"/>
                <w:lang w:eastAsia="en-GB"/>
                <w14:ligatures w14:val="none"/>
              </w:rPr>
            </w:pPr>
          </w:p>
        </w:tc>
      </w:tr>
    </w:tbl>
    <w:p w14:paraId="7EB60AE0" w14:textId="77777777" w:rsidR="00C27A04" w:rsidRPr="00C27A04" w:rsidRDefault="00C27A0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300F169" w14:textId="77777777" w:rsidR="004315AF" w:rsidRDefault="004315AF"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4315AF" w:rsidSect="004315AF">
          <w:type w:val="continuous"/>
          <w:pgSz w:w="11906" w:h="16838"/>
          <w:pgMar w:top="1440" w:right="1440" w:bottom="1440" w:left="1440" w:header="720" w:footer="720" w:gutter="0"/>
          <w:cols w:space="720"/>
          <w:titlePg/>
          <w:docGrid w:linePitch="360"/>
        </w:sectPr>
      </w:pPr>
    </w:p>
    <w:p w14:paraId="22ED2C84" w14:textId="28CC421D" w:rsidR="00B77644" w:rsidRPr="0048625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486254">
        <w:rPr>
          <w:rFonts w:ascii="Arial" w:eastAsia="Times New Roman" w:hAnsi="Arial" w:cs="Arial"/>
          <w:i/>
          <w:iCs/>
          <w:color w:val="0F1115"/>
          <w:kern w:val="0"/>
          <w:sz w:val="20"/>
          <w:szCs w:val="20"/>
          <w:lang w:eastAsia="en-GB"/>
          <w14:ligatures w14:val="none"/>
        </w:rPr>
        <w:t>Anti</w:t>
      </w:r>
      <w:r w:rsidRPr="00486254">
        <w:rPr>
          <w:rFonts w:ascii="Arial" w:eastAsia="Times New Roman" w:hAnsi="Arial" w:cs="Arial"/>
          <w:i/>
          <w:iCs/>
          <w:color w:val="0F1115"/>
          <w:kern w:val="0"/>
          <w:sz w:val="20"/>
          <w:szCs w:val="20"/>
          <w:lang w:eastAsia="en-GB"/>
          <w14:ligatures w14:val="none"/>
        </w:rPr>
        <w:noBreakHyphen/>
        <w:t>FOLR1 IgG seropositivity and biomarker levels</w:t>
      </w:r>
    </w:p>
    <w:p w14:paraId="7FD194F2"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Among the 60 ASD children, 46 (76.7%) tested positive for anti</w:t>
      </w:r>
      <w:r w:rsidRPr="00062B53">
        <w:rPr>
          <w:rFonts w:ascii="Arial" w:eastAsia="Times New Roman" w:hAnsi="Arial" w:cs="Arial"/>
          <w:color w:val="0F1115"/>
          <w:kern w:val="0"/>
          <w:sz w:val="20"/>
          <w:szCs w:val="20"/>
          <w:lang w:eastAsia="en-GB"/>
          <w14:ligatures w14:val="none"/>
        </w:rPr>
        <w:noBreakHyphen/>
        <w:t xml:space="preserve">FOLR1 IgG. Table 3 compares serum biomarker levels between seropositive and seronegative ASD children. Seropositive </w:t>
      </w:r>
      <w:r w:rsidRPr="00062B53">
        <w:rPr>
          <w:rFonts w:ascii="Arial" w:eastAsia="Times New Roman" w:hAnsi="Arial" w:cs="Arial"/>
          <w:color w:val="0F1115"/>
          <w:kern w:val="0"/>
          <w:sz w:val="20"/>
          <w:szCs w:val="20"/>
          <w:lang w:eastAsia="en-GB"/>
          <w14:ligatures w14:val="none"/>
        </w:rPr>
        <w:t xml:space="preserve">children had significantly lower median levels of vitamin D3 (13.74 vs 29.20 ng/mL, p=0.002), folic acid (9.94 vs 21.50 ng/mL, p=0.002) and reduced glutathione (0.83 vs 2.15 </w:t>
      </w:r>
      <w:proofErr w:type="spellStart"/>
      <w:r w:rsidRPr="00062B53">
        <w:rPr>
          <w:rFonts w:ascii="Arial" w:eastAsia="Times New Roman" w:hAnsi="Arial" w:cs="Arial"/>
          <w:color w:val="0F1115"/>
          <w:kern w:val="0"/>
          <w:sz w:val="20"/>
          <w:szCs w:val="20"/>
          <w:lang w:eastAsia="en-GB"/>
          <w14:ligatures w14:val="none"/>
        </w:rPr>
        <w:t>μmol</w:t>
      </w:r>
      <w:proofErr w:type="spellEnd"/>
      <w:r w:rsidRPr="00062B53">
        <w:rPr>
          <w:rFonts w:ascii="Arial" w:eastAsia="Times New Roman" w:hAnsi="Arial" w:cs="Arial"/>
          <w:color w:val="0F1115"/>
          <w:kern w:val="0"/>
          <w:sz w:val="20"/>
          <w:szCs w:val="20"/>
          <w:lang w:eastAsia="en-GB"/>
          <w14:ligatures w14:val="none"/>
        </w:rPr>
        <w:t>/L, p&lt;0.001). Glutathione showed the strongest statistical separation.</w:t>
      </w:r>
    </w:p>
    <w:p w14:paraId="063A48AE" w14:textId="77777777" w:rsidR="004315AF" w:rsidRDefault="004315AF"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4315AF" w:rsidSect="004315AF">
          <w:type w:val="continuous"/>
          <w:pgSz w:w="11906" w:h="16838"/>
          <w:pgMar w:top="1440" w:right="1440" w:bottom="1440" w:left="1440" w:header="720" w:footer="720" w:gutter="0"/>
          <w:cols w:num="2" w:space="432"/>
          <w:titlePg/>
          <w:docGrid w:linePitch="360"/>
        </w:sectPr>
      </w:pPr>
    </w:p>
    <w:p w14:paraId="314E8440" w14:textId="77777777" w:rsidR="00486254" w:rsidRPr="00062B53" w:rsidRDefault="0048625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64C15AE" w14:textId="715BF1EC" w:rsidR="00B77644" w:rsidRPr="00062B53" w:rsidRDefault="00B77644" w:rsidP="00486254">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Table 3</w:t>
      </w:r>
      <w:r w:rsidR="00486254">
        <w:rPr>
          <w:rFonts w:ascii="Arial" w:eastAsia="Times New Roman" w:hAnsi="Arial" w:cs="Arial"/>
          <w:b/>
          <w:bCs/>
          <w:color w:val="0F1115"/>
          <w:kern w:val="0"/>
          <w:sz w:val="20"/>
          <w:szCs w:val="20"/>
          <w:lang w:eastAsia="en-GB"/>
          <w14:ligatures w14:val="none"/>
        </w:rPr>
        <w:t>:</w:t>
      </w:r>
      <w:r w:rsidRPr="00062B53">
        <w:rPr>
          <w:rFonts w:ascii="Arial" w:eastAsia="Times New Roman" w:hAnsi="Arial" w:cs="Arial"/>
          <w:b/>
          <w:bCs/>
          <w:color w:val="0F1115"/>
          <w:kern w:val="0"/>
          <w:sz w:val="20"/>
          <w:szCs w:val="20"/>
          <w:lang w:eastAsia="en-GB"/>
          <w14:ligatures w14:val="none"/>
        </w:rPr>
        <w:t xml:space="preserve"> Nutritional and oxidative stress markers according to anti</w:t>
      </w:r>
      <w:r w:rsidRPr="00062B53">
        <w:rPr>
          <w:rFonts w:ascii="Arial" w:eastAsia="Times New Roman" w:hAnsi="Arial" w:cs="Arial"/>
          <w:b/>
          <w:bCs/>
          <w:color w:val="0F1115"/>
          <w:kern w:val="0"/>
          <w:sz w:val="20"/>
          <w:szCs w:val="20"/>
          <w:lang w:eastAsia="en-GB"/>
          <w14:ligatures w14:val="none"/>
        </w:rPr>
        <w:noBreakHyphen/>
        <w:t>FOLR1 IgG status in ASD children</w:t>
      </w:r>
    </w:p>
    <w:tbl>
      <w:tblPr>
        <w:tblW w:w="7942" w:type="dxa"/>
        <w:jc w:val="center"/>
        <w:tblLook w:val="04A0" w:firstRow="1" w:lastRow="0" w:firstColumn="1" w:lastColumn="0" w:noHBand="0" w:noVBand="1"/>
      </w:tblPr>
      <w:tblGrid>
        <w:gridCol w:w="2956"/>
        <w:gridCol w:w="1960"/>
        <w:gridCol w:w="2020"/>
        <w:gridCol w:w="1006"/>
      </w:tblGrid>
      <w:tr w:rsidR="00B72A2D" w:rsidRPr="00B72A2D" w14:paraId="5E3A3B86" w14:textId="77777777" w:rsidTr="00C83662">
        <w:trPr>
          <w:trHeight w:val="107"/>
          <w:jc w:val="center"/>
        </w:trPr>
        <w:tc>
          <w:tcPr>
            <w:tcW w:w="2956" w:type="dxa"/>
            <w:tcBorders>
              <w:top w:val="single" w:sz="4" w:space="0" w:color="auto"/>
              <w:left w:val="nil"/>
              <w:bottom w:val="single" w:sz="4" w:space="0" w:color="auto"/>
              <w:right w:val="nil"/>
            </w:tcBorders>
            <w:noWrap/>
            <w:vAlign w:val="center"/>
            <w:hideMark/>
          </w:tcPr>
          <w:p w14:paraId="11AF1C93" w14:textId="77777777" w:rsidR="00B72A2D" w:rsidRPr="00B72A2D" w:rsidRDefault="00B72A2D" w:rsidP="001304BC">
            <w:pPr>
              <w:spacing w:after="0" w:line="240" w:lineRule="auto"/>
              <w:jc w:val="center"/>
              <w:rPr>
                <w:rFonts w:ascii="Arial" w:eastAsia="Times New Roman" w:hAnsi="Arial" w:cs="Arial"/>
                <w:b/>
                <w:bCs/>
                <w:color w:val="000000"/>
                <w:kern w:val="0"/>
                <w:sz w:val="20"/>
                <w:szCs w:val="20"/>
                <w:lang w:eastAsia="en-GB"/>
                <w14:ligatures w14:val="none"/>
              </w:rPr>
            </w:pPr>
            <w:r w:rsidRPr="00B72A2D">
              <w:rPr>
                <w:rFonts w:ascii="Arial" w:eastAsia="Times New Roman" w:hAnsi="Arial" w:cs="Arial"/>
                <w:b/>
                <w:bCs/>
                <w:color w:val="000000"/>
                <w:kern w:val="0"/>
                <w:sz w:val="20"/>
                <w:szCs w:val="20"/>
                <w:lang w:eastAsia="en-GB"/>
                <w14:ligatures w14:val="none"/>
              </w:rPr>
              <w:t>Variable</w:t>
            </w:r>
          </w:p>
        </w:tc>
        <w:tc>
          <w:tcPr>
            <w:tcW w:w="1960" w:type="dxa"/>
            <w:tcBorders>
              <w:top w:val="single" w:sz="4" w:space="0" w:color="auto"/>
              <w:left w:val="nil"/>
              <w:bottom w:val="single" w:sz="4" w:space="0" w:color="auto"/>
              <w:right w:val="nil"/>
            </w:tcBorders>
            <w:noWrap/>
            <w:vAlign w:val="center"/>
            <w:hideMark/>
          </w:tcPr>
          <w:p w14:paraId="05E7FAAA" w14:textId="77777777" w:rsidR="00B72A2D" w:rsidRPr="00B72A2D" w:rsidRDefault="00B72A2D" w:rsidP="001304BC">
            <w:pPr>
              <w:spacing w:after="0" w:line="240" w:lineRule="auto"/>
              <w:jc w:val="center"/>
              <w:rPr>
                <w:rFonts w:ascii="Arial" w:eastAsia="Times New Roman" w:hAnsi="Arial" w:cs="Arial"/>
                <w:b/>
                <w:bCs/>
                <w:color w:val="000000"/>
                <w:kern w:val="0"/>
                <w:sz w:val="20"/>
                <w:szCs w:val="20"/>
                <w:lang w:eastAsia="en-GB"/>
                <w14:ligatures w14:val="none"/>
              </w:rPr>
            </w:pPr>
            <w:r w:rsidRPr="00B72A2D">
              <w:rPr>
                <w:rFonts w:ascii="Arial" w:eastAsia="Times New Roman" w:hAnsi="Arial" w:cs="Arial"/>
                <w:b/>
                <w:bCs/>
                <w:color w:val="000000"/>
                <w:kern w:val="0"/>
                <w:sz w:val="20"/>
                <w:szCs w:val="20"/>
                <w:lang w:eastAsia="en-GB"/>
                <w14:ligatures w14:val="none"/>
              </w:rPr>
              <w:t>Seropositive (n=46)</w:t>
            </w:r>
          </w:p>
        </w:tc>
        <w:tc>
          <w:tcPr>
            <w:tcW w:w="2020" w:type="dxa"/>
            <w:tcBorders>
              <w:top w:val="single" w:sz="4" w:space="0" w:color="auto"/>
              <w:left w:val="nil"/>
              <w:bottom w:val="single" w:sz="4" w:space="0" w:color="auto"/>
              <w:right w:val="nil"/>
            </w:tcBorders>
            <w:noWrap/>
            <w:vAlign w:val="center"/>
            <w:hideMark/>
          </w:tcPr>
          <w:p w14:paraId="2F87F545" w14:textId="77777777" w:rsidR="00B72A2D" w:rsidRPr="00B72A2D" w:rsidRDefault="00B72A2D" w:rsidP="001304BC">
            <w:pPr>
              <w:spacing w:after="0" w:line="240" w:lineRule="auto"/>
              <w:jc w:val="center"/>
              <w:rPr>
                <w:rFonts w:ascii="Arial" w:eastAsia="Times New Roman" w:hAnsi="Arial" w:cs="Arial"/>
                <w:b/>
                <w:bCs/>
                <w:color w:val="000000"/>
                <w:kern w:val="0"/>
                <w:sz w:val="20"/>
                <w:szCs w:val="20"/>
                <w:lang w:eastAsia="en-GB"/>
                <w14:ligatures w14:val="none"/>
              </w:rPr>
            </w:pPr>
            <w:r w:rsidRPr="00B72A2D">
              <w:rPr>
                <w:rFonts w:ascii="Arial" w:eastAsia="Times New Roman" w:hAnsi="Arial" w:cs="Arial"/>
                <w:b/>
                <w:bCs/>
                <w:color w:val="000000"/>
                <w:kern w:val="0"/>
                <w:sz w:val="20"/>
                <w:szCs w:val="20"/>
                <w:lang w:eastAsia="en-GB"/>
                <w14:ligatures w14:val="none"/>
              </w:rPr>
              <w:t>Seronegative (n=14)</w:t>
            </w:r>
          </w:p>
        </w:tc>
        <w:tc>
          <w:tcPr>
            <w:tcW w:w="1006" w:type="dxa"/>
            <w:tcBorders>
              <w:top w:val="single" w:sz="4" w:space="0" w:color="auto"/>
              <w:left w:val="nil"/>
              <w:bottom w:val="single" w:sz="4" w:space="0" w:color="auto"/>
              <w:right w:val="nil"/>
            </w:tcBorders>
            <w:noWrap/>
            <w:vAlign w:val="center"/>
            <w:hideMark/>
          </w:tcPr>
          <w:p w14:paraId="0DD923AC" w14:textId="77777777" w:rsidR="00B72A2D" w:rsidRPr="00B72A2D" w:rsidRDefault="00B72A2D" w:rsidP="001304BC">
            <w:pPr>
              <w:spacing w:after="0" w:line="240" w:lineRule="auto"/>
              <w:jc w:val="center"/>
              <w:rPr>
                <w:rFonts w:ascii="Arial" w:eastAsia="Times New Roman" w:hAnsi="Arial" w:cs="Arial"/>
                <w:b/>
                <w:bCs/>
                <w:color w:val="000000"/>
                <w:kern w:val="0"/>
                <w:sz w:val="20"/>
                <w:szCs w:val="20"/>
                <w:lang w:eastAsia="en-GB"/>
                <w14:ligatures w14:val="none"/>
              </w:rPr>
            </w:pPr>
            <w:r w:rsidRPr="00B72A2D">
              <w:rPr>
                <w:rFonts w:ascii="Arial" w:eastAsia="Times New Roman" w:hAnsi="Arial" w:cs="Arial"/>
                <w:b/>
                <w:bCs/>
                <w:color w:val="000000"/>
                <w:kern w:val="0"/>
                <w:sz w:val="20"/>
                <w:szCs w:val="20"/>
                <w:lang w:eastAsia="en-GB"/>
                <w14:ligatures w14:val="none"/>
              </w:rPr>
              <w:t>P</w:t>
            </w:r>
            <w:r w:rsidRPr="00B72A2D">
              <w:rPr>
                <w:rFonts w:ascii="Arial" w:eastAsia="Times New Roman" w:hAnsi="Arial" w:cs="Arial"/>
                <w:b/>
                <w:bCs/>
                <w:color w:val="000000"/>
                <w:kern w:val="0"/>
                <w:sz w:val="20"/>
                <w:szCs w:val="20"/>
                <w:lang w:eastAsia="en-GB"/>
                <w14:ligatures w14:val="none"/>
              </w:rPr>
              <w:noBreakHyphen/>
              <w:t>value*</w:t>
            </w:r>
          </w:p>
        </w:tc>
      </w:tr>
      <w:tr w:rsidR="00B72A2D" w:rsidRPr="00B72A2D" w14:paraId="4F439E56" w14:textId="77777777" w:rsidTr="00C83662">
        <w:trPr>
          <w:trHeight w:val="49"/>
          <w:jc w:val="center"/>
        </w:trPr>
        <w:tc>
          <w:tcPr>
            <w:tcW w:w="2956" w:type="dxa"/>
            <w:tcBorders>
              <w:top w:val="nil"/>
              <w:left w:val="nil"/>
              <w:bottom w:val="nil"/>
              <w:right w:val="nil"/>
            </w:tcBorders>
            <w:noWrap/>
            <w:vAlign w:val="center"/>
            <w:hideMark/>
          </w:tcPr>
          <w:p w14:paraId="7B0A6CCD"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Vitamin D3 (ng/mL)</w:t>
            </w:r>
          </w:p>
        </w:tc>
        <w:tc>
          <w:tcPr>
            <w:tcW w:w="1960" w:type="dxa"/>
            <w:tcBorders>
              <w:top w:val="nil"/>
              <w:left w:val="nil"/>
              <w:bottom w:val="nil"/>
              <w:right w:val="nil"/>
            </w:tcBorders>
            <w:noWrap/>
            <w:vAlign w:val="center"/>
            <w:hideMark/>
          </w:tcPr>
          <w:p w14:paraId="59FCEE9B"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c>
          <w:tcPr>
            <w:tcW w:w="2020" w:type="dxa"/>
            <w:tcBorders>
              <w:top w:val="nil"/>
              <w:left w:val="nil"/>
              <w:bottom w:val="nil"/>
              <w:right w:val="nil"/>
            </w:tcBorders>
            <w:noWrap/>
            <w:vAlign w:val="center"/>
            <w:hideMark/>
          </w:tcPr>
          <w:p w14:paraId="575A8D25" w14:textId="77777777" w:rsidR="00B72A2D" w:rsidRPr="00B72A2D" w:rsidRDefault="00B72A2D" w:rsidP="001304BC">
            <w:pPr>
              <w:spacing w:after="0" w:line="240" w:lineRule="auto"/>
              <w:jc w:val="center"/>
              <w:rPr>
                <w:rFonts w:ascii="Times New Roman" w:eastAsia="Times New Roman" w:hAnsi="Times New Roman" w:cs="Times New Roman"/>
                <w:kern w:val="0"/>
                <w:sz w:val="20"/>
                <w:szCs w:val="20"/>
                <w:lang w:eastAsia="en-GB"/>
                <w14:ligatures w14:val="none"/>
              </w:rPr>
            </w:pPr>
          </w:p>
        </w:tc>
        <w:tc>
          <w:tcPr>
            <w:tcW w:w="1006" w:type="dxa"/>
            <w:tcBorders>
              <w:top w:val="nil"/>
              <w:left w:val="nil"/>
              <w:bottom w:val="nil"/>
              <w:right w:val="nil"/>
            </w:tcBorders>
            <w:noWrap/>
            <w:vAlign w:val="center"/>
            <w:hideMark/>
          </w:tcPr>
          <w:p w14:paraId="47E5A04E"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0.002</w:t>
            </w:r>
          </w:p>
        </w:tc>
      </w:tr>
      <w:tr w:rsidR="00B72A2D" w:rsidRPr="00B72A2D" w14:paraId="46B8AB56" w14:textId="77777777" w:rsidTr="00C83662">
        <w:trPr>
          <w:trHeight w:val="59"/>
          <w:jc w:val="center"/>
        </w:trPr>
        <w:tc>
          <w:tcPr>
            <w:tcW w:w="2956" w:type="dxa"/>
            <w:tcBorders>
              <w:top w:val="nil"/>
              <w:left w:val="nil"/>
              <w:bottom w:val="nil"/>
              <w:right w:val="nil"/>
            </w:tcBorders>
            <w:noWrap/>
            <w:vAlign w:val="center"/>
            <w:hideMark/>
          </w:tcPr>
          <w:p w14:paraId="701E2673"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Mean ± SD</w:t>
            </w:r>
          </w:p>
        </w:tc>
        <w:tc>
          <w:tcPr>
            <w:tcW w:w="1960" w:type="dxa"/>
            <w:tcBorders>
              <w:top w:val="nil"/>
              <w:left w:val="nil"/>
              <w:bottom w:val="nil"/>
              <w:right w:val="nil"/>
            </w:tcBorders>
            <w:noWrap/>
            <w:vAlign w:val="center"/>
            <w:hideMark/>
          </w:tcPr>
          <w:p w14:paraId="4FB6087B"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14.64 ± 9.56</w:t>
            </w:r>
          </w:p>
        </w:tc>
        <w:tc>
          <w:tcPr>
            <w:tcW w:w="2020" w:type="dxa"/>
            <w:tcBorders>
              <w:top w:val="nil"/>
              <w:left w:val="nil"/>
              <w:bottom w:val="nil"/>
              <w:right w:val="nil"/>
            </w:tcBorders>
            <w:noWrap/>
            <w:vAlign w:val="center"/>
            <w:hideMark/>
          </w:tcPr>
          <w:p w14:paraId="15703685"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26.30 ± 10.89</w:t>
            </w:r>
          </w:p>
        </w:tc>
        <w:tc>
          <w:tcPr>
            <w:tcW w:w="1006" w:type="dxa"/>
            <w:tcBorders>
              <w:top w:val="nil"/>
              <w:left w:val="nil"/>
              <w:bottom w:val="nil"/>
              <w:right w:val="nil"/>
            </w:tcBorders>
            <w:noWrap/>
            <w:vAlign w:val="center"/>
            <w:hideMark/>
          </w:tcPr>
          <w:p w14:paraId="0CE84C02"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r>
      <w:tr w:rsidR="00B72A2D" w:rsidRPr="00B72A2D" w14:paraId="69038C3E" w14:textId="77777777" w:rsidTr="00C83662">
        <w:trPr>
          <w:trHeight w:val="59"/>
          <w:jc w:val="center"/>
        </w:trPr>
        <w:tc>
          <w:tcPr>
            <w:tcW w:w="2956" w:type="dxa"/>
            <w:tcBorders>
              <w:top w:val="nil"/>
              <w:left w:val="nil"/>
              <w:bottom w:val="nil"/>
              <w:right w:val="nil"/>
            </w:tcBorders>
            <w:noWrap/>
            <w:vAlign w:val="center"/>
            <w:hideMark/>
          </w:tcPr>
          <w:p w14:paraId="3591EE71"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Median (IQR)</w:t>
            </w:r>
          </w:p>
        </w:tc>
        <w:tc>
          <w:tcPr>
            <w:tcW w:w="1960" w:type="dxa"/>
            <w:tcBorders>
              <w:top w:val="nil"/>
              <w:left w:val="nil"/>
              <w:bottom w:val="nil"/>
              <w:right w:val="nil"/>
            </w:tcBorders>
            <w:noWrap/>
            <w:vAlign w:val="center"/>
            <w:hideMark/>
          </w:tcPr>
          <w:p w14:paraId="3A75239E"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13.74 (7.10–20.28)</w:t>
            </w:r>
          </w:p>
        </w:tc>
        <w:tc>
          <w:tcPr>
            <w:tcW w:w="2020" w:type="dxa"/>
            <w:tcBorders>
              <w:top w:val="nil"/>
              <w:left w:val="nil"/>
              <w:bottom w:val="nil"/>
              <w:right w:val="nil"/>
            </w:tcBorders>
            <w:noWrap/>
            <w:vAlign w:val="center"/>
            <w:hideMark/>
          </w:tcPr>
          <w:p w14:paraId="3AE43193"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29.20 (20.33–33.70)</w:t>
            </w:r>
          </w:p>
        </w:tc>
        <w:tc>
          <w:tcPr>
            <w:tcW w:w="1006" w:type="dxa"/>
            <w:tcBorders>
              <w:top w:val="nil"/>
              <w:left w:val="nil"/>
              <w:bottom w:val="nil"/>
              <w:right w:val="nil"/>
            </w:tcBorders>
            <w:noWrap/>
            <w:vAlign w:val="center"/>
            <w:hideMark/>
          </w:tcPr>
          <w:p w14:paraId="5F4EB1B0"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r>
      <w:tr w:rsidR="00B72A2D" w:rsidRPr="00B72A2D" w14:paraId="7404F367" w14:textId="77777777" w:rsidTr="00C83662">
        <w:trPr>
          <w:trHeight w:val="59"/>
          <w:jc w:val="center"/>
        </w:trPr>
        <w:tc>
          <w:tcPr>
            <w:tcW w:w="2956" w:type="dxa"/>
            <w:tcBorders>
              <w:top w:val="nil"/>
              <w:left w:val="nil"/>
              <w:bottom w:val="nil"/>
              <w:right w:val="nil"/>
            </w:tcBorders>
            <w:noWrap/>
            <w:vAlign w:val="center"/>
            <w:hideMark/>
          </w:tcPr>
          <w:p w14:paraId="48282886"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Folic acid (ng/mL)</w:t>
            </w:r>
          </w:p>
        </w:tc>
        <w:tc>
          <w:tcPr>
            <w:tcW w:w="1960" w:type="dxa"/>
            <w:tcBorders>
              <w:top w:val="nil"/>
              <w:left w:val="nil"/>
              <w:bottom w:val="nil"/>
              <w:right w:val="nil"/>
            </w:tcBorders>
            <w:noWrap/>
            <w:vAlign w:val="center"/>
            <w:hideMark/>
          </w:tcPr>
          <w:p w14:paraId="47A77C23"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c>
          <w:tcPr>
            <w:tcW w:w="2020" w:type="dxa"/>
            <w:tcBorders>
              <w:top w:val="nil"/>
              <w:left w:val="nil"/>
              <w:bottom w:val="nil"/>
              <w:right w:val="nil"/>
            </w:tcBorders>
            <w:noWrap/>
            <w:vAlign w:val="center"/>
            <w:hideMark/>
          </w:tcPr>
          <w:p w14:paraId="7F523449" w14:textId="77777777" w:rsidR="00B72A2D" w:rsidRPr="00B72A2D" w:rsidRDefault="00B72A2D" w:rsidP="001304BC">
            <w:pPr>
              <w:spacing w:after="0" w:line="240" w:lineRule="auto"/>
              <w:jc w:val="center"/>
              <w:rPr>
                <w:rFonts w:ascii="Times New Roman" w:eastAsia="Times New Roman" w:hAnsi="Times New Roman" w:cs="Times New Roman"/>
                <w:kern w:val="0"/>
                <w:sz w:val="20"/>
                <w:szCs w:val="20"/>
                <w:lang w:eastAsia="en-GB"/>
                <w14:ligatures w14:val="none"/>
              </w:rPr>
            </w:pPr>
          </w:p>
        </w:tc>
        <w:tc>
          <w:tcPr>
            <w:tcW w:w="1006" w:type="dxa"/>
            <w:tcBorders>
              <w:top w:val="nil"/>
              <w:left w:val="nil"/>
              <w:bottom w:val="nil"/>
              <w:right w:val="nil"/>
            </w:tcBorders>
            <w:noWrap/>
            <w:vAlign w:val="center"/>
            <w:hideMark/>
          </w:tcPr>
          <w:p w14:paraId="0FACD21A"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0.002</w:t>
            </w:r>
          </w:p>
        </w:tc>
      </w:tr>
      <w:tr w:rsidR="00B72A2D" w:rsidRPr="00B72A2D" w14:paraId="31AFE334" w14:textId="77777777" w:rsidTr="00C83662">
        <w:trPr>
          <w:trHeight w:val="59"/>
          <w:jc w:val="center"/>
        </w:trPr>
        <w:tc>
          <w:tcPr>
            <w:tcW w:w="2956" w:type="dxa"/>
            <w:tcBorders>
              <w:top w:val="nil"/>
              <w:left w:val="nil"/>
              <w:bottom w:val="nil"/>
              <w:right w:val="nil"/>
            </w:tcBorders>
            <w:noWrap/>
            <w:vAlign w:val="center"/>
            <w:hideMark/>
          </w:tcPr>
          <w:p w14:paraId="7CFAACF3"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Mean ± SD</w:t>
            </w:r>
          </w:p>
        </w:tc>
        <w:tc>
          <w:tcPr>
            <w:tcW w:w="1960" w:type="dxa"/>
            <w:tcBorders>
              <w:top w:val="nil"/>
              <w:left w:val="nil"/>
              <w:bottom w:val="nil"/>
              <w:right w:val="nil"/>
            </w:tcBorders>
            <w:noWrap/>
            <w:vAlign w:val="center"/>
            <w:hideMark/>
          </w:tcPr>
          <w:p w14:paraId="37C9F444"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13.54 ± 8.72</w:t>
            </w:r>
          </w:p>
        </w:tc>
        <w:tc>
          <w:tcPr>
            <w:tcW w:w="2020" w:type="dxa"/>
            <w:tcBorders>
              <w:top w:val="nil"/>
              <w:left w:val="nil"/>
              <w:bottom w:val="nil"/>
              <w:right w:val="nil"/>
            </w:tcBorders>
            <w:noWrap/>
            <w:vAlign w:val="center"/>
            <w:hideMark/>
          </w:tcPr>
          <w:p w14:paraId="59ACB6A2"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21.53 ± 8.04</w:t>
            </w:r>
          </w:p>
        </w:tc>
        <w:tc>
          <w:tcPr>
            <w:tcW w:w="1006" w:type="dxa"/>
            <w:tcBorders>
              <w:top w:val="nil"/>
              <w:left w:val="nil"/>
              <w:bottom w:val="nil"/>
              <w:right w:val="nil"/>
            </w:tcBorders>
            <w:noWrap/>
            <w:vAlign w:val="center"/>
            <w:hideMark/>
          </w:tcPr>
          <w:p w14:paraId="51E74E33"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r>
      <w:tr w:rsidR="00B72A2D" w:rsidRPr="00B72A2D" w14:paraId="32145781" w14:textId="77777777" w:rsidTr="00C83662">
        <w:trPr>
          <w:trHeight w:val="59"/>
          <w:jc w:val="center"/>
        </w:trPr>
        <w:tc>
          <w:tcPr>
            <w:tcW w:w="2956" w:type="dxa"/>
            <w:tcBorders>
              <w:top w:val="nil"/>
              <w:left w:val="nil"/>
              <w:bottom w:val="nil"/>
              <w:right w:val="nil"/>
            </w:tcBorders>
            <w:noWrap/>
            <w:vAlign w:val="center"/>
            <w:hideMark/>
          </w:tcPr>
          <w:p w14:paraId="43AC1237"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Median (IQR)</w:t>
            </w:r>
          </w:p>
        </w:tc>
        <w:tc>
          <w:tcPr>
            <w:tcW w:w="1960" w:type="dxa"/>
            <w:tcBorders>
              <w:top w:val="nil"/>
              <w:left w:val="nil"/>
              <w:bottom w:val="nil"/>
              <w:right w:val="nil"/>
            </w:tcBorders>
            <w:noWrap/>
            <w:vAlign w:val="center"/>
            <w:hideMark/>
          </w:tcPr>
          <w:p w14:paraId="3B439708"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9.94 (6.96–18.68)</w:t>
            </w:r>
          </w:p>
        </w:tc>
        <w:tc>
          <w:tcPr>
            <w:tcW w:w="2020" w:type="dxa"/>
            <w:tcBorders>
              <w:top w:val="nil"/>
              <w:left w:val="nil"/>
              <w:bottom w:val="nil"/>
              <w:right w:val="nil"/>
            </w:tcBorders>
            <w:noWrap/>
            <w:vAlign w:val="center"/>
            <w:hideMark/>
          </w:tcPr>
          <w:p w14:paraId="2B05D996"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21.50 (12.73–29.06)</w:t>
            </w:r>
          </w:p>
        </w:tc>
        <w:tc>
          <w:tcPr>
            <w:tcW w:w="1006" w:type="dxa"/>
            <w:tcBorders>
              <w:top w:val="nil"/>
              <w:left w:val="nil"/>
              <w:bottom w:val="nil"/>
              <w:right w:val="nil"/>
            </w:tcBorders>
            <w:noWrap/>
            <w:vAlign w:val="center"/>
            <w:hideMark/>
          </w:tcPr>
          <w:p w14:paraId="1A791481"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r>
      <w:tr w:rsidR="00B72A2D" w:rsidRPr="00B72A2D" w14:paraId="3FE0567A" w14:textId="77777777" w:rsidTr="00C83662">
        <w:trPr>
          <w:trHeight w:val="59"/>
          <w:jc w:val="center"/>
        </w:trPr>
        <w:tc>
          <w:tcPr>
            <w:tcW w:w="2956" w:type="dxa"/>
            <w:tcBorders>
              <w:top w:val="nil"/>
              <w:left w:val="nil"/>
              <w:bottom w:val="nil"/>
              <w:right w:val="nil"/>
            </w:tcBorders>
            <w:noWrap/>
            <w:vAlign w:val="center"/>
            <w:hideMark/>
          </w:tcPr>
          <w:p w14:paraId="516DC402"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Reduced glutathione (</w:t>
            </w:r>
            <w:proofErr w:type="spellStart"/>
            <w:r w:rsidRPr="00B72A2D">
              <w:rPr>
                <w:rFonts w:ascii="Arial" w:eastAsia="Times New Roman" w:hAnsi="Arial" w:cs="Arial"/>
                <w:color w:val="000000"/>
                <w:kern w:val="0"/>
                <w:sz w:val="20"/>
                <w:szCs w:val="20"/>
                <w:lang w:eastAsia="en-GB"/>
                <w14:ligatures w14:val="none"/>
              </w:rPr>
              <w:t>μmol</w:t>
            </w:r>
            <w:proofErr w:type="spellEnd"/>
            <w:r w:rsidRPr="00B72A2D">
              <w:rPr>
                <w:rFonts w:ascii="Arial" w:eastAsia="Times New Roman" w:hAnsi="Arial" w:cs="Arial"/>
                <w:color w:val="000000"/>
                <w:kern w:val="0"/>
                <w:sz w:val="20"/>
                <w:szCs w:val="20"/>
                <w:lang w:eastAsia="en-GB"/>
                <w14:ligatures w14:val="none"/>
              </w:rPr>
              <w:t>/L)</w:t>
            </w:r>
          </w:p>
        </w:tc>
        <w:tc>
          <w:tcPr>
            <w:tcW w:w="1960" w:type="dxa"/>
            <w:tcBorders>
              <w:top w:val="nil"/>
              <w:left w:val="nil"/>
              <w:bottom w:val="nil"/>
              <w:right w:val="nil"/>
            </w:tcBorders>
            <w:noWrap/>
            <w:vAlign w:val="center"/>
            <w:hideMark/>
          </w:tcPr>
          <w:p w14:paraId="7B0559E3"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c>
          <w:tcPr>
            <w:tcW w:w="2020" w:type="dxa"/>
            <w:tcBorders>
              <w:top w:val="nil"/>
              <w:left w:val="nil"/>
              <w:bottom w:val="nil"/>
              <w:right w:val="nil"/>
            </w:tcBorders>
            <w:noWrap/>
            <w:vAlign w:val="center"/>
            <w:hideMark/>
          </w:tcPr>
          <w:p w14:paraId="17565F84" w14:textId="77777777" w:rsidR="00B72A2D" w:rsidRPr="00B72A2D" w:rsidRDefault="00B72A2D" w:rsidP="001304BC">
            <w:pPr>
              <w:spacing w:after="0" w:line="240" w:lineRule="auto"/>
              <w:jc w:val="center"/>
              <w:rPr>
                <w:rFonts w:ascii="Times New Roman" w:eastAsia="Times New Roman" w:hAnsi="Times New Roman" w:cs="Times New Roman"/>
                <w:kern w:val="0"/>
                <w:sz w:val="20"/>
                <w:szCs w:val="20"/>
                <w:lang w:eastAsia="en-GB"/>
                <w14:ligatures w14:val="none"/>
              </w:rPr>
            </w:pPr>
          </w:p>
        </w:tc>
        <w:tc>
          <w:tcPr>
            <w:tcW w:w="1006" w:type="dxa"/>
            <w:tcBorders>
              <w:top w:val="nil"/>
              <w:left w:val="nil"/>
              <w:bottom w:val="nil"/>
              <w:right w:val="nil"/>
            </w:tcBorders>
            <w:noWrap/>
            <w:vAlign w:val="center"/>
            <w:hideMark/>
          </w:tcPr>
          <w:p w14:paraId="679AFCC7"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&lt;0.001</w:t>
            </w:r>
          </w:p>
        </w:tc>
      </w:tr>
      <w:tr w:rsidR="00B72A2D" w:rsidRPr="00B72A2D" w14:paraId="7C0CBD96" w14:textId="77777777" w:rsidTr="00C83662">
        <w:trPr>
          <w:trHeight w:val="59"/>
          <w:jc w:val="center"/>
        </w:trPr>
        <w:tc>
          <w:tcPr>
            <w:tcW w:w="2956" w:type="dxa"/>
            <w:tcBorders>
              <w:top w:val="nil"/>
              <w:left w:val="nil"/>
              <w:bottom w:val="nil"/>
              <w:right w:val="nil"/>
            </w:tcBorders>
            <w:noWrap/>
            <w:vAlign w:val="center"/>
            <w:hideMark/>
          </w:tcPr>
          <w:p w14:paraId="1C626DA6"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Mean ± SD</w:t>
            </w:r>
          </w:p>
        </w:tc>
        <w:tc>
          <w:tcPr>
            <w:tcW w:w="1960" w:type="dxa"/>
            <w:tcBorders>
              <w:top w:val="nil"/>
              <w:left w:val="nil"/>
              <w:bottom w:val="nil"/>
              <w:right w:val="nil"/>
            </w:tcBorders>
            <w:noWrap/>
            <w:vAlign w:val="center"/>
            <w:hideMark/>
          </w:tcPr>
          <w:p w14:paraId="07153F4B"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0.96 ± 0.69</w:t>
            </w:r>
          </w:p>
        </w:tc>
        <w:tc>
          <w:tcPr>
            <w:tcW w:w="2020" w:type="dxa"/>
            <w:tcBorders>
              <w:top w:val="nil"/>
              <w:left w:val="nil"/>
              <w:bottom w:val="nil"/>
              <w:right w:val="nil"/>
            </w:tcBorders>
            <w:noWrap/>
            <w:vAlign w:val="center"/>
            <w:hideMark/>
          </w:tcPr>
          <w:p w14:paraId="5529C662"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2.01 ± 0.73</w:t>
            </w:r>
          </w:p>
        </w:tc>
        <w:tc>
          <w:tcPr>
            <w:tcW w:w="1006" w:type="dxa"/>
            <w:tcBorders>
              <w:top w:val="nil"/>
              <w:left w:val="nil"/>
              <w:bottom w:val="nil"/>
              <w:right w:val="nil"/>
            </w:tcBorders>
            <w:noWrap/>
            <w:vAlign w:val="center"/>
            <w:hideMark/>
          </w:tcPr>
          <w:p w14:paraId="3EAC88E6"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r>
      <w:tr w:rsidR="00B72A2D" w:rsidRPr="00B72A2D" w14:paraId="11E706C1" w14:textId="77777777" w:rsidTr="00C83662">
        <w:trPr>
          <w:trHeight w:val="59"/>
          <w:jc w:val="center"/>
        </w:trPr>
        <w:tc>
          <w:tcPr>
            <w:tcW w:w="2956" w:type="dxa"/>
            <w:tcBorders>
              <w:top w:val="nil"/>
              <w:left w:val="nil"/>
              <w:bottom w:val="single" w:sz="4" w:space="0" w:color="auto"/>
              <w:right w:val="nil"/>
            </w:tcBorders>
            <w:noWrap/>
            <w:vAlign w:val="center"/>
            <w:hideMark/>
          </w:tcPr>
          <w:p w14:paraId="0FD22220" w14:textId="77777777" w:rsidR="00B72A2D" w:rsidRPr="00B72A2D" w:rsidRDefault="00B72A2D" w:rsidP="00B72A2D">
            <w:pPr>
              <w:spacing w:after="0" w:line="240" w:lineRule="auto"/>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Median (IQR)</w:t>
            </w:r>
          </w:p>
        </w:tc>
        <w:tc>
          <w:tcPr>
            <w:tcW w:w="1960" w:type="dxa"/>
            <w:tcBorders>
              <w:top w:val="nil"/>
              <w:left w:val="nil"/>
              <w:bottom w:val="single" w:sz="4" w:space="0" w:color="auto"/>
              <w:right w:val="nil"/>
            </w:tcBorders>
            <w:noWrap/>
            <w:vAlign w:val="center"/>
            <w:hideMark/>
          </w:tcPr>
          <w:p w14:paraId="0B73D835"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0.83 (0.32–1.55)</w:t>
            </w:r>
          </w:p>
        </w:tc>
        <w:tc>
          <w:tcPr>
            <w:tcW w:w="2020" w:type="dxa"/>
            <w:tcBorders>
              <w:top w:val="nil"/>
              <w:left w:val="nil"/>
              <w:bottom w:val="single" w:sz="4" w:space="0" w:color="auto"/>
              <w:right w:val="nil"/>
            </w:tcBorders>
            <w:noWrap/>
            <w:vAlign w:val="center"/>
            <w:hideMark/>
          </w:tcPr>
          <w:p w14:paraId="763A0DAB" w14:textId="77777777"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r w:rsidRPr="00B72A2D">
              <w:rPr>
                <w:rFonts w:ascii="Arial" w:eastAsia="Times New Roman" w:hAnsi="Arial" w:cs="Arial"/>
                <w:color w:val="000000"/>
                <w:kern w:val="0"/>
                <w:sz w:val="20"/>
                <w:szCs w:val="20"/>
                <w:lang w:eastAsia="en-GB"/>
                <w14:ligatures w14:val="none"/>
              </w:rPr>
              <w:t>2.15 (1.28–2.78)</w:t>
            </w:r>
          </w:p>
        </w:tc>
        <w:tc>
          <w:tcPr>
            <w:tcW w:w="1006" w:type="dxa"/>
            <w:tcBorders>
              <w:top w:val="nil"/>
              <w:left w:val="nil"/>
              <w:bottom w:val="single" w:sz="4" w:space="0" w:color="auto"/>
              <w:right w:val="nil"/>
            </w:tcBorders>
            <w:noWrap/>
            <w:vAlign w:val="center"/>
            <w:hideMark/>
          </w:tcPr>
          <w:p w14:paraId="2C2B3D9A" w14:textId="44A4CCBD" w:rsidR="00B72A2D" w:rsidRPr="00B72A2D" w:rsidRDefault="00B72A2D" w:rsidP="001304BC">
            <w:pPr>
              <w:spacing w:after="0" w:line="240" w:lineRule="auto"/>
              <w:jc w:val="center"/>
              <w:rPr>
                <w:rFonts w:ascii="Arial" w:eastAsia="Times New Roman" w:hAnsi="Arial" w:cs="Arial"/>
                <w:color w:val="000000"/>
                <w:kern w:val="0"/>
                <w:sz w:val="20"/>
                <w:szCs w:val="20"/>
                <w:lang w:eastAsia="en-GB"/>
                <w14:ligatures w14:val="none"/>
              </w:rPr>
            </w:pPr>
          </w:p>
        </w:tc>
      </w:tr>
    </w:tbl>
    <w:p w14:paraId="06930149" w14:textId="33EEF315" w:rsidR="00B77644" w:rsidRDefault="00B77644" w:rsidP="008809E8">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*Mann–Whitney U test</w:t>
      </w:r>
    </w:p>
    <w:p w14:paraId="22125260" w14:textId="77777777" w:rsidR="008809E8" w:rsidRPr="00062B53" w:rsidRDefault="008809E8"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BC12674" w14:textId="77777777" w:rsidR="004315AF" w:rsidRDefault="004315AF"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sectPr w:rsidR="004315AF" w:rsidSect="004315AF">
          <w:type w:val="continuous"/>
          <w:pgSz w:w="11906" w:h="16838"/>
          <w:pgMar w:top="1440" w:right="1440" w:bottom="1440" w:left="1440" w:header="720" w:footer="720" w:gutter="0"/>
          <w:cols w:space="720"/>
          <w:titlePg/>
          <w:docGrid w:linePitch="360"/>
        </w:sectPr>
      </w:pPr>
    </w:p>
    <w:p w14:paraId="50A4EF76" w14:textId="77777777" w:rsidR="00B77644" w:rsidRPr="00AF27E2"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F27E2">
        <w:rPr>
          <w:rFonts w:ascii="Arial" w:eastAsia="Times New Roman" w:hAnsi="Arial" w:cs="Arial"/>
          <w:i/>
          <w:iCs/>
          <w:color w:val="0F1115"/>
          <w:kern w:val="0"/>
          <w:sz w:val="20"/>
          <w:szCs w:val="20"/>
          <w:lang w:eastAsia="en-GB"/>
          <w14:ligatures w14:val="none"/>
        </w:rPr>
        <w:t>Association with ASD severity</w:t>
      </w:r>
    </w:p>
    <w:p w14:paraId="62836692"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As shown in Table 4, anti</w:t>
      </w:r>
      <w:r w:rsidRPr="00062B53">
        <w:rPr>
          <w:rFonts w:ascii="Arial" w:eastAsia="Times New Roman" w:hAnsi="Arial" w:cs="Arial"/>
          <w:color w:val="0F1115"/>
          <w:kern w:val="0"/>
          <w:sz w:val="20"/>
          <w:szCs w:val="20"/>
          <w:lang w:eastAsia="en-GB"/>
          <w14:ligatures w14:val="none"/>
        </w:rPr>
        <w:noBreakHyphen/>
        <w:t xml:space="preserve">FOLR1 IgG positivity was strongly associated with greater severity of ASD. Among seropositive children, 63.0% had </w:t>
      </w:r>
      <w:r w:rsidRPr="00062B53">
        <w:rPr>
          <w:rFonts w:ascii="Arial" w:eastAsia="Times New Roman" w:hAnsi="Arial" w:cs="Arial"/>
          <w:color w:val="0F1115"/>
          <w:kern w:val="0"/>
          <w:sz w:val="20"/>
          <w:szCs w:val="20"/>
          <w:lang w:eastAsia="en-GB"/>
          <w14:ligatures w14:val="none"/>
        </w:rPr>
        <w:t>severe ASD compared with only 14.3% of seronegative children (p=0.002). Conversely, 50.0% of seronegative children had mild ASD versus only 13.0% of seropositive children.</w:t>
      </w:r>
    </w:p>
    <w:p w14:paraId="1BED269B" w14:textId="77777777" w:rsidR="004315AF" w:rsidRDefault="004315AF"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sectPr w:rsidR="004315AF" w:rsidSect="004315AF">
          <w:type w:val="continuous"/>
          <w:pgSz w:w="11906" w:h="16838"/>
          <w:pgMar w:top="1440" w:right="1440" w:bottom="1440" w:left="1440" w:header="720" w:footer="720" w:gutter="0"/>
          <w:cols w:num="2" w:space="432"/>
          <w:titlePg/>
          <w:docGrid w:linePitch="360"/>
        </w:sectPr>
      </w:pPr>
    </w:p>
    <w:p w14:paraId="698263D2" w14:textId="77777777" w:rsidR="00AF27E2" w:rsidRPr="00062B53" w:rsidRDefault="00AF27E2"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6602CDAC" w14:textId="0985BDDB" w:rsidR="00B77644" w:rsidRPr="00062B53" w:rsidRDefault="00B77644" w:rsidP="00AF27E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Table 4</w:t>
      </w:r>
      <w:r w:rsidR="00AF27E2">
        <w:rPr>
          <w:rFonts w:ascii="Arial" w:eastAsia="Times New Roman" w:hAnsi="Arial" w:cs="Arial"/>
          <w:b/>
          <w:bCs/>
          <w:color w:val="0F1115"/>
          <w:kern w:val="0"/>
          <w:sz w:val="20"/>
          <w:szCs w:val="20"/>
          <w:lang w:eastAsia="en-GB"/>
          <w14:ligatures w14:val="none"/>
        </w:rPr>
        <w:t>:</w:t>
      </w:r>
      <w:r w:rsidRPr="00062B53">
        <w:rPr>
          <w:rFonts w:ascii="Arial" w:eastAsia="Times New Roman" w:hAnsi="Arial" w:cs="Arial"/>
          <w:b/>
          <w:bCs/>
          <w:color w:val="0F1115"/>
          <w:kern w:val="0"/>
          <w:sz w:val="20"/>
          <w:szCs w:val="20"/>
          <w:lang w:eastAsia="en-GB"/>
          <w14:ligatures w14:val="none"/>
        </w:rPr>
        <w:t xml:space="preserve"> Association between anti</w:t>
      </w:r>
      <w:r w:rsidRPr="00062B53">
        <w:rPr>
          <w:rFonts w:ascii="Arial" w:eastAsia="Times New Roman" w:hAnsi="Arial" w:cs="Arial"/>
          <w:b/>
          <w:bCs/>
          <w:color w:val="0F1115"/>
          <w:kern w:val="0"/>
          <w:sz w:val="20"/>
          <w:szCs w:val="20"/>
          <w:lang w:eastAsia="en-GB"/>
          <w14:ligatures w14:val="none"/>
        </w:rPr>
        <w:noBreakHyphen/>
        <w:t>FOLR1 IgG status and ASD severity</w:t>
      </w:r>
    </w:p>
    <w:tbl>
      <w:tblPr>
        <w:tblW w:w="5491" w:type="dxa"/>
        <w:jc w:val="center"/>
        <w:tblLook w:val="04A0" w:firstRow="1" w:lastRow="0" w:firstColumn="1" w:lastColumn="0" w:noHBand="0" w:noVBand="1"/>
      </w:tblPr>
      <w:tblGrid>
        <w:gridCol w:w="1562"/>
        <w:gridCol w:w="1417"/>
        <w:gridCol w:w="1473"/>
        <w:gridCol w:w="1039"/>
      </w:tblGrid>
      <w:tr w:rsidR="008A1F14" w:rsidRPr="008A1F14" w14:paraId="36888C2D" w14:textId="77777777" w:rsidTr="008A1F14">
        <w:trPr>
          <w:trHeight w:val="260"/>
          <w:jc w:val="center"/>
        </w:trPr>
        <w:tc>
          <w:tcPr>
            <w:tcW w:w="1562" w:type="dxa"/>
            <w:tcBorders>
              <w:top w:val="single" w:sz="4" w:space="0" w:color="auto"/>
              <w:left w:val="nil"/>
              <w:bottom w:val="single" w:sz="4" w:space="0" w:color="auto"/>
              <w:right w:val="nil"/>
            </w:tcBorders>
            <w:noWrap/>
            <w:vAlign w:val="center"/>
            <w:hideMark/>
          </w:tcPr>
          <w:p w14:paraId="36B2E962" w14:textId="77777777" w:rsidR="008A1F14" w:rsidRPr="008A1F14" w:rsidRDefault="008A1F14" w:rsidP="00C83662">
            <w:pPr>
              <w:spacing w:after="0" w:line="240" w:lineRule="auto"/>
              <w:jc w:val="center"/>
              <w:rPr>
                <w:rFonts w:ascii="Arial" w:eastAsia="Times New Roman" w:hAnsi="Arial" w:cs="Arial"/>
                <w:b/>
                <w:bCs/>
                <w:color w:val="000000"/>
                <w:kern w:val="0"/>
                <w:sz w:val="20"/>
                <w:szCs w:val="20"/>
                <w:lang w:eastAsia="en-GB"/>
                <w14:ligatures w14:val="none"/>
              </w:rPr>
            </w:pPr>
            <w:r w:rsidRPr="008A1F14">
              <w:rPr>
                <w:rFonts w:ascii="Arial" w:eastAsia="Times New Roman" w:hAnsi="Arial" w:cs="Arial"/>
                <w:b/>
                <w:bCs/>
                <w:color w:val="000000"/>
                <w:kern w:val="0"/>
                <w:sz w:val="20"/>
                <w:szCs w:val="20"/>
                <w:lang w:eastAsia="en-GB"/>
                <w14:ligatures w14:val="none"/>
              </w:rPr>
              <w:t>ASD severity</w:t>
            </w:r>
          </w:p>
        </w:tc>
        <w:tc>
          <w:tcPr>
            <w:tcW w:w="1417" w:type="dxa"/>
            <w:tcBorders>
              <w:top w:val="single" w:sz="4" w:space="0" w:color="auto"/>
              <w:left w:val="nil"/>
              <w:bottom w:val="single" w:sz="4" w:space="0" w:color="auto"/>
              <w:right w:val="nil"/>
            </w:tcBorders>
            <w:noWrap/>
            <w:vAlign w:val="center"/>
            <w:hideMark/>
          </w:tcPr>
          <w:p w14:paraId="08B022C1" w14:textId="77777777" w:rsidR="008A1F14" w:rsidRPr="008A1F14" w:rsidRDefault="008A1F14" w:rsidP="00C83662">
            <w:pPr>
              <w:spacing w:after="0" w:line="240" w:lineRule="auto"/>
              <w:jc w:val="center"/>
              <w:rPr>
                <w:rFonts w:ascii="Arial" w:eastAsia="Times New Roman" w:hAnsi="Arial" w:cs="Arial"/>
                <w:b/>
                <w:bCs/>
                <w:color w:val="000000"/>
                <w:kern w:val="0"/>
                <w:sz w:val="20"/>
                <w:szCs w:val="20"/>
                <w:lang w:eastAsia="en-GB"/>
                <w14:ligatures w14:val="none"/>
              </w:rPr>
            </w:pPr>
            <w:r w:rsidRPr="008A1F14">
              <w:rPr>
                <w:rFonts w:ascii="Arial" w:eastAsia="Times New Roman" w:hAnsi="Arial" w:cs="Arial"/>
                <w:b/>
                <w:bCs/>
                <w:color w:val="000000"/>
                <w:kern w:val="0"/>
                <w:sz w:val="20"/>
                <w:szCs w:val="20"/>
                <w:lang w:eastAsia="en-GB"/>
                <w14:ligatures w14:val="none"/>
              </w:rPr>
              <w:t>Seropositive (n=46) n (%)</w:t>
            </w:r>
          </w:p>
        </w:tc>
        <w:tc>
          <w:tcPr>
            <w:tcW w:w="1473" w:type="dxa"/>
            <w:tcBorders>
              <w:top w:val="single" w:sz="4" w:space="0" w:color="auto"/>
              <w:left w:val="nil"/>
              <w:bottom w:val="single" w:sz="4" w:space="0" w:color="auto"/>
              <w:right w:val="nil"/>
            </w:tcBorders>
            <w:noWrap/>
            <w:vAlign w:val="center"/>
            <w:hideMark/>
          </w:tcPr>
          <w:p w14:paraId="68320AE5" w14:textId="77777777" w:rsidR="008A1F14" w:rsidRPr="008A1F14" w:rsidRDefault="008A1F14" w:rsidP="00C83662">
            <w:pPr>
              <w:spacing w:after="0" w:line="240" w:lineRule="auto"/>
              <w:jc w:val="center"/>
              <w:rPr>
                <w:rFonts w:ascii="Arial" w:eastAsia="Times New Roman" w:hAnsi="Arial" w:cs="Arial"/>
                <w:b/>
                <w:bCs/>
                <w:color w:val="000000"/>
                <w:kern w:val="0"/>
                <w:sz w:val="20"/>
                <w:szCs w:val="20"/>
                <w:lang w:eastAsia="en-GB"/>
                <w14:ligatures w14:val="none"/>
              </w:rPr>
            </w:pPr>
            <w:r w:rsidRPr="008A1F14">
              <w:rPr>
                <w:rFonts w:ascii="Arial" w:eastAsia="Times New Roman" w:hAnsi="Arial" w:cs="Arial"/>
                <w:b/>
                <w:bCs/>
                <w:color w:val="000000"/>
                <w:kern w:val="0"/>
                <w:sz w:val="20"/>
                <w:szCs w:val="20"/>
                <w:lang w:eastAsia="en-GB"/>
                <w14:ligatures w14:val="none"/>
              </w:rPr>
              <w:t>Seronegative (n=14) n (%)</w:t>
            </w:r>
          </w:p>
        </w:tc>
        <w:tc>
          <w:tcPr>
            <w:tcW w:w="1039" w:type="dxa"/>
            <w:tcBorders>
              <w:top w:val="single" w:sz="4" w:space="0" w:color="auto"/>
              <w:left w:val="nil"/>
              <w:bottom w:val="single" w:sz="4" w:space="0" w:color="auto"/>
              <w:right w:val="nil"/>
            </w:tcBorders>
            <w:noWrap/>
            <w:vAlign w:val="center"/>
            <w:hideMark/>
          </w:tcPr>
          <w:p w14:paraId="62D8E9A7" w14:textId="77777777" w:rsidR="008A1F14" w:rsidRPr="008A1F14" w:rsidRDefault="008A1F14" w:rsidP="00C83662">
            <w:pPr>
              <w:spacing w:after="0" w:line="240" w:lineRule="auto"/>
              <w:jc w:val="center"/>
              <w:rPr>
                <w:rFonts w:ascii="Arial" w:eastAsia="Times New Roman" w:hAnsi="Arial" w:cs="Arial"/>
                <w:b/>
                <w:bCs/>
                <w:color w:val="000000"/>
                <w:kern w:val="0"/>
                <w:sz w:val="20"/>
                <w:szCs w:val="20"/>
                <w:lang w:eastAsia="en-GB"/>
                <w14:ligatures w14:val="none"/>
              </w:rPr>
            </w:pPr>
            <w:r w:rsidRPr="008A1F14">
              <w:rPr>
                <w:rFonts w:ascii="Arial" w:eastAsia="Times New Roman" w:hAnsi="Arial" w:cs="Arial"/>
                <w:b/>
                <w:bCs/>
                <w:color w:val="000000"/>
                <w:kern w:val="0"/>
                <w:sz w:val="20"/>
                <w:szCs w:val="20"/>
                <w:lang w:eastAsia="en-GB"/>
                <w14:ligatures w14:val="none"/>
              </w:rPr>
              <w:t>P</w:t>
            </w:r>
            <w:r w:rsidRPr="008A1F14">
              <w:rPr>
                <w:rFonts w:ascii="Arial" w:eastAsia="Times New Roman" w:hAnsi="Arial" w:cs="Arial"/>
                <w:b/>
                <w:bCs/>
                <w:color w:val="000000"/>
                <w:kern w:val="0"/>
                <w:sz w:val="20"/>
                <w:szCs w:val="20"/>
                <w:lang w:eastAsia="en-GB"/>
                <w14:ligatures w14:val="none"/>
              </w:rPr>
              <w:noBreakHyphen/>
              <w:t>value</w:t>
            </w:r>
          </w:p>
        </w:tc>
      </w:tr>
      <w:tr w:rsidR="008A1F14" w:rsidRPr="008A1F14" w14:paraId="07B728E7" w14:textId="77777777" w:rsidTr="00C83662">
        <w:trPr>
          <w:trHeight w:val="49"/>
          <w:jc w:val="center"/>
        </w:trPr>
        <w:tc>
          <w:tcPr>
            <w:tcW w:w="1562" w:type="dxa"/>
            <w:tcBorders>
              <w:top w:val="nil"/>
              <w:left w:val="nil"/>
              <w:bottom w:val="nil"/>
              <w:right w:val="nil"/>
            </w:tcBorders>
            <w:noWrap/>
            <w:vAlign w:val="center"/>
            <w:hideMark/>
          </w:tcPr>
          <w:p w14:paraId="2F767264" w14:textId="77777777" w:rsidR="008A1F14" w:rsidRPr="008A1F14" w:rsidRDefault="008A1F14" w:rsidP="008A1F14">
            <w:pPr>
              <w:spacing w:after="0" w:line="240" w:lineRule="auto"/>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Severe</w:t>
            </w:r>
          </w:p>
        </w:tc>
        <w:tc>
          <w:tcPr>
            <w:tcW w:w="1417" w:type="dxa"/>
            <w:tcBorders>
              <w:top w:val="nil"/>
              <w:left w:val="nil"/>
              <w:bottom w:val="nil"/>
              <w:right w:val="nil"/>
            </w:tcBorders>
            <w:noWrap/>
            <w:vAlign w:val="center"/>
            <w:hideMark/>
          </w:tcPr>
          <w:p w14:paraId="6E0F2A36"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29 (63.0)</w:t>
            </w:r>
          </w:p>
        </w:tc>
        <w:tc>
          <w:tcPr>
            <w:tcW w:w="1473" w:type="dxa"/>
            <w:tcBorders>
              <w:top w:val="nil"/>
              <w:left w:val="nil"/>
              <w:bottom w:val="nil"/>
              <w:right w:val="nil"/>
            </w:tcBorders>
            <w:noWrap/>
            <w:vAlign w:val="center"/>
            <w:hideMark/>
          </w:tcPr>
          <w:p w14:paraId="56D3492F"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2 (14.3)</w:t>
            </w:r>
          </w:p>
        </w:tc>
        <w:tc>
          <w:tcPr>
            <w:tcW w:w="1039" w:type="dxa"/>
            <w:tcBorders>
              <w:top w:val="nil"/>
              <w:left w:val="nil"/>
              <w:bottom w:val="nil"/>
              <w:right w:val="nil"/>
            </w:tcBorders>
            <w:noWrap/>
            <w:vAlign w:val="center"/>
            <w:hideMark/>
          </w:tcPr>
          <w:p w14:paraId="02AB7BC0"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0.002</w:t>
            </w:r>
          </w:p>
        </w:tc>
      </w:tr>
      <w:tr w:rsidR="008A1F14" w:rsidRPr="008A1F14" w14:paraId="525E9651" w14:textId="77777777" w:rsidTr="00C83662">
        <w:trPr>
          <w:trHeight w:val="59"/>
          <w:jc w:val="center"/>
        </w:trPr>
        <w:tc>
          <w:tcPr>
            <w:tcW w:w="1562" w:type="dxa"/>
            <w:tcBorders>
              <w:top w:val="nil"/>
              <w:left w:val="nil"/>
              <w:bottom w:val="nil"/>
              <w:right w:val="nil"/>
            </w:tcBorders>
            <w:noWrap/>
            <w:vAlign w:val="center"/>
            <w:hideMark/>
          </w:tcPr>
          <w:p w14:paraId="18A8E995" w14:textId="77777777" w:rsidR="008A1F14" w:rsidRPr="008A1F14" w:rsidRDefault="008A1F14" w:rsidP="008A1F14">
            <w:pPr>
              <w:spacing w:after="0" w:line="240" w:lineRule="auto"/>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Moderate</w:t>
            </w:r>
          </w:p>
        </w:tc>
        <w:tc>
          <w:tcPr>
            <w:tcW w:w="1417" w:type="dxa"/>
            <w:tcBorders>
              <w:top w:val="nil"/>
              <w:left w:val="nil"/>
              <w:bottom w:val="nil"/>
              <w:right w:val="nil"/>
            </w:tcBorders>
            <w:noWrap/>
            <w:vAlign w:val="center"/>
            <w:hideMark/>
          </w:tcPr>
          <w:p w14:paraId="2315C46D"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11 (23.9)</w:t>
            </w:r>
          </w:p>
        </w:tc>
        <w:tc>
          <w:tcPr>
            <w:tcW w:w="1473" w:type="dxa"/>
            <w:tcBorders>
              <w:top w:val="nil"/>
              <w:left w:val="nil"/>
              <w:bottom w:val="nil"/>
              <w:right w:val="nil"/>
            </w:tcBorders>
            <w:noWrap/>
            <w:vAlign w:val="center"/>
            <w:hideMark/>
          </w:tcPr>
          <w:p w14:paraId="151D42E2"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5 (35.7)</w:t>
            </w:r>
          </w:p>
        </w:tc>
        <w:tc>
          <w:tcPr>
            <w:tcW w:w="1039" w:type="dxa"/>
            <w:tcBorders>
              <w:top w:val="nil"/>
              <w:left w:val="nil"/>
              <w:bottom w:val="nil"/>
              <w:right w:val="nil"/>
            </w:tcBorders>
            <w:noWrap/>
            <w:vAlign w:val="center"/>
            <w:hideMark/>
          </w:tcPr>
          <w:p w14:paraId="1E9B998E"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p>
        </w:tc>
      </w:tr>
      <w:tr w:rsidR="008A1F14" w:rsidRPr="008A1F14" w14:paraId="6747BE67" w14:textId="77777777" w:rsidTr="00C83662">
        <w:trPr>
          <w:trHeight w:val="59"/>
          <w:jc w:val="center"/>
        </w:trPr>
        <w:tc>
          <w:tcPr>
            <w:tcW w:w="1562" w:type="dxa"/>
            <w:tcBorders>
              <w:top w:val="nil"/>
              <w:left w:val="nil"/>
              <w:bottom w:val="single" w:sz="4" w:space="0" w:color="auto"/>
              <w:right w:val="nil"/>
            </w:tcBorders>
            <w:noWrap/>
            <w:vAlign w:val="center"/>
            <w:hideMark/>
          </w:tcPr>
          <w:p w14:paraId="11B98CB0" w14:textId="77777777" w:rsidR="008A1F14" w:rsidRPr="008A1F14" w:rsidRDefault="008A1F14" w:rsidP="008A1F14">
            <w:pPr>
              <w:spacing w:after="0" w:line="240" w:lineRule="auto"/>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Mild</w:t>
            </w:r>
          </w:p>
        </w:tc>
        <w:tc>
          <w:tcPr>
            <w:tcW w:w="1417" w:type="dxa"/>
            <w:tcBorders>
              <w:top w:val="nil"/>
              <w:left w:val="nil"/>
              <w:bottom w:val="single" w:sz="4" w:space="0" w:color="auto"/>
              <w:right w:val="nil"/>
            </w:tcBorders>
            <w:noWrap/>
            <w:vAlign w:val="center"/>
            <w:hideMark/>
          </w:tcPr>
          <w:p w14:paraId="16570346"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6 (13.0)</w:t>
            </w:r>
          </w:p>
        </w:tc>
        <w:tc>
          <w:tcPr>
            <w:tcW w:w="1473" w:type="dxa"/>
            <w:tcBorders>
              <w:top w:val="nil"/>
              <w:left w:val="nil"/>
              <w:bottom w:val="single" w:sz="4" w:space="0" w:color="auto"/>
              <w:right w:val="nil"/>
            </w:tcBorders>
            <w:noWrap/>
            <w:vAlign w:val="center"/>
            <w:hideMark/>
          </w:tcPr>
          <w:p w14:paraId="232544E9" w14:textId="77777777"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r w:rsidRPr="008A1F14">
              <w:rPr>
                <w:rFonts w:ascii="Arial" w:eastAsia="Times New Roman" w:hAnsi="Arial" w:cs="Arial"/>
                <w:color w:val="000000"/>
                <w:kern w:val="0"/>
                <w:sz w:val="20"/>
                <w:szCs w:val="20"/>
                <w:lang w:eastAsia="en-GB"/>
                <w14:ligatures w14:val="none"/>
              </w:rPr>
              <w:t>7 (50.0)</w:t>
            </w:r>
          </w:p>
        </w:tc>
        <w:tc>
          <w:tcPr>
            <w:tcW w:w="1039" w:type="dxa"/>
            <w:tcBorders>
              <w:top w:val="nil"/>
              <w:left w:val="nil"/>
              <w:bottom w:val="single" w:sz="4" w:space="0" w:color="auto"/>
              <w:right w:val="nil"/>
            </w:tcBorders>
            <w:noWrap/>
            <w:vAlign w:val="center"/>
            <w:hideMark/>
          </w:tcPr>
          <w:p w14:paraId="67D16620" w14:textId="162097F6" w:rsidR="008A1F14" w:rsidRPr="008A1F14" w:rsidRDefault="008A1F14" w:rsidP="00C83662">
            <w:pPr>
              <w:spacing w:after="0" w:line="240" w:lineRule="auto"/>
              <w:jc w:val="center"/>
              <w:rPr>
                <w:rFonts w:ascii="Arial" w:eastAsia="Times New Roman" w:hAnsi="Arial" w:cs="Arial"/>
                <w:color w:val="000000"/>
                <w:kern w:val="0"/>
                <w:sz w:val="20"/>
                <w:szCs w:val="20"/>
                <w:lang w:eastAsia="en-GB"/>
                <w14:ligatures w14:val="none"/>
              </w:rPr>
            </w:pPr>
          </w:p>
        </w:tc>
      </w:tr>
    </w:tbl>
    <w:p w14:paraId="57C27E0F" w14:textId="1338889C" w:rsidR="00B77644" w:rsidRPr="00062B53" w:rsidRDefault="00B77644" w:rsidP="00AF27E2">
      <w:pPr>
        <w:shd w:val="clear" w:color="auto" w:fill="FFFFFF"/>
        <w:spacing w:after="0" w:line="240" w:lineRule="auto"/>
        <w:jc w:val="center"/>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*Chi</w:t>
      </w:r>
      <w:r w:rsidRPr="00062B53">
        <w:rPr>
          <w:rFonts w:ascii="Arial" w:eastAsia="Times New Roman" w:hAnsi="Arial" w:cs="Arial"/>
          <w:color w:val="0F1115"/>
          <w:kern w:val="0"/>
          <w:sz w:val="20"/>
          <w:szCs w:val="20"/>
          <w:lang w:eastAsia="en-GB"/>
          <w14:ligatures w14:val="none"/>
        </w:rPr>
        <w:noBreakHyphen/>
        <w:t>square test.</w:t>
      </w:r>
    </w:p>
    <w:p w14:paraId="5B6ADA91" w14:textId="1F9CDC36" w:rsidR="00B77644" w:rsidRPr="00062B53" w:rsidRDefault="00B77644" w:rsidP="00847404">
      <w:pPr>
        <w:spacing w:after="0" w:line="240" w:lineRule="auto"/>
        <w:jc w:val="both"/>
        <w:rPr>
          <w:rFonts w:ascii="Arial" w:eastAsia="Times New Roman" w:hAnsi="Arial" w:cs="Arial"/>
          <w:kern w:val="0"/>
          <w:sz w:val="20"/>
          <w:szCs w:val="20"/>
          <w:lang w:eastAsia="en-GB"/>
          <w14:ligatures w14:val="none"/>
        </w:rPr>
      </w:pPr>
    </w:p>
    <w:p w14:paraId="73EEC273" w14:textId="77777777" w:rsidR="004315AF" w:rsidRDefault="004315AF"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sectPr w:rsidR="004315AF" w:rsidSect="004315AF">
          <w:type w:val="continuous"/>
          <w:pgSz w:w="11906" w:h="16838"/>
          <w:pgMar w:top="1440" w:right="1440" w:bottom="1440" w:left="1440" w:header="720" w:footer="720" w:gutter="0"/>
          <w:cols w:space="720"/>
          <w:titlePg/>
          <w:docGrid w:linePitch="360"/>
        </w:sectPr>
      </w:pPr>
    </w:p>
    <w:p w14:paraId="2D4FD3B4"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Discussion</w:t>
      </w:r>
    </w:p>
    <w:p w14:paraId="6A7970DD"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This study provides, to our knowledge, the first data from southern Iraq on the association between folate receptor alpha autoantibodies, metabolic biomarkers and clinical severity in children with ASD. The key findings are that nearly 77% of ASD children tested positive for anti</w:t>
      </w:r>
      <w:r w:rsidRPr="00062B53">
        <w:rPr>
          <w:rFonts w:ascii="Arial" w:eastAsia="Times New Roman" w:hAnsi="Arial" w:cs="Arial"/>
          <w:color w:val="0F1115"/>
          <w:kern w:val="0"/>
          <w:sz w:val="20"/>
          <w:szCs w:val="20"/>
          <w:lang w:eastAsia="en-GB"/>
          <w14:ligatures w14:val="none"/>
        </w:rPr>
        <w:noBreakHyphen/>
        <w:t>FOLR1 IgG; seropositive children had markedly lower serum vitamin D3, folic acid and reduced glutathione levels; and seropositivity was strongly associated with severe ASD.</w:t>
      </w:r>
    </w:p>
    <w:p w14:paraId="2B7D20DC" w14:textId="77777777" w:rsidR="008A1F14" w:rsidRPr="00062B53" w:rsidRDefault="008A1F1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4FEBAB45" w14:textId="77777777" w:rsidR="00B77644" w:rsidRPr="008A1F1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A1F14">
        <w:rPr>
          <w:rFonts w:ascii="Arial" w:eastAsia="Times New Roman" w:hAnsi="Arial" w:cs="Arial"/>
          <w:i/>
          <w:iCs/>
          <w:color w:val="0F1115"/>
          <w:kern w:val="0"/>
          <w:sz w:val="20"/>
          <w:szCs w:val="20"/>
          <w:lang w:eastAsia="en-GB"/>
          <w14:ligatures w14:val="none"/>
        </w:rPr>
        <w:t>Prevalence of anti</w:t>
      </w:r>
      <w:r w:rsidRPr="008A1F14">
        <w:rPr>
          <w:rFonts w:ascii="Arial" w:eastAsia="Times New Roman" w:hAnsi="Arial" w:cs="Arial"/>
          <w:i/>
          <w:iCs/>
          <w:color w:val="0F1115"/>
          <w:kern w:val="0"/>
          <w:sz w:val="20"/>
          <w:szCs w:val="20"/>
          <w:lang w:eastAsia="en-GB"/>
          <w14:ligatures w14:val="none"/>
        </w:rPr>
        <w:noBreakHyphen/>
        <w:t>FOLR1 autoantibodies</w:t>
      </w:r>
    </w:p>
    <w:p w14:paraId="1F165FDE" w14:textId="2E203CEF"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The observed prevalence of 76.7% is very close to the 70–80% range reported in systematic reviews and meta</w:t>
      </w:r>
      <w:r w:rsidRPr="00062B53">
        <w:rPr>
          <w:rFonts w:ascii="Arial" w:eastAsia="Times New Roman" w:hAnsi="Arial" w:cs="Arial"/>
          <w:color w:val="0F1115"/>
          <w:kern w:val="0"/>
          <w:sz w:val="20"/>
          <w:szCs w:val="20"/>
          <w:lang w:eastAsia="en-GB"/>
          <w14:ligatures w14:val="none"/>
        </w:rPr>
        <w:noBreakHyphen/>
        <w:t xml:space="preserve">analyses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_Ref229650253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5</w:t>
      </w:r>
      <w:r w:rsidR="00D20AB0">
        <w:rPr>
          <w:rFonts w:ascii="Arial" w:eastAsia="Times New Roman" w:hAnsi="Arial" w:cs="Arial"/>
          <w:color w:val="0000FF"/>
          <w:kern w:val="0"/>
          <w:sz w:val="20"/>
          <w:szCs w:val="20"/>
          <w:lang w:eastAsia="en-GB"/>
          <w14:ligatures w14:val="none"/>
        </w:rPr>
        <w:fldChar w:fldCharType="end"/>
      </w:r>
      <w:r w:rsidRPr="001814FA">
        <w:rPr>
          <w:rFonts w:ascii="Arial" w:eastAsia="Times New Roman" w:hAnsi="Arial" w:cs="Arial"/>
          <w:color w:val="0000FF"/>
          <w:kern w:val="0"/>
          <w:sz w:val="20"/>
          <w:szCs w:val="20"/>
          <w:lang w:eastAsia="en-GB"/>
          <w14:ligatures w14:val="none"/>
        </w:rPr>
        <w:t>,</w:t>
      </w:r>
      <w:r w:rsidR="001814FA" w:rsidRPr="001814FA">
        <w:rPr>
          <w:rFonts w:ascii="Arial" w:eastAsia="Times New Roman" w:hAnsi="Arial" w:cs="Arial"/>
          <w:color w:val="0000FF"/>
          <w:kern w:val="0"/>
          <w:sz w:val="20"/>
          <w:szCs w:val="20"/>
          <w:lang w:eastAsia="en-GB"/>
          <w14:ligatures w14:val="none"/>
        </w:rPr>
        <w:t xml:space="preserve"> </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_Ref229650267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6</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Rossignol and Frye (2021) pooled data from several studies and found that FRα autoantibodies were present in approximately 70% of children with ASD, and in 83% of those with CFD [5]. The consistency across different geographical and ethnic populations suggests that these autoantibodies are not a rare or region</w:t>
      </w:r>
      <w:r w:rsidRPr="00062B53">
        <w:rPr>
          <w:rFonts w:ascii="Arial" w:eastAsia="Times New Roman" w:hAnsi="Arial" w:cs="Arial"/>
          <w:color w:val="0F1115"/>
          <w:kern w:val="0"/>
          <w:sz w:val="20"/>
          <w:szCs w:val="20"/>
          <w:lang w:eastAsia="en-GB"/>
          <w14:ligatures w14:val="none"/>
        </w:rPr>
        <w:noBreakHyphen/>
        <w:t>specific phenomenon but a core immune</w:t>
      </w:r>
      <w:r w:rsidRPr="00062B53">
        <w:rPr>
          <w:rFonts w:ascii="Arial" w:eastAsia="Times New Roman" w:hAnsi="Arial" w:cs="Arial"/>
          <w:color w:val="0F1115"/>
          <w:kern w:val="0"/>
          <w:sz w:val="20"/>
          <w:szCs w:val="20"/>
          <w:lang w:eastAsia="en-GB"/>
          <w14:ligatures w14:val="none"/>
        </w:rPr>
        <w:noBreakHyphen/>
        <w:t xml:space="preserve">mediated mechanism in a </w:t>
      </w:r>
      <w:r w:rsidRPr="00062B53">
        <w:rPr>
          <w:rFonts w:ascii="Arial" w:eastAsia="Times New Roman" w:hAnsi="Arial" w:cs="Arial"/>
          <w:color w:val="0F1115"/>
          <w:kern w:val="0"/>
          <w:sz w:val="20"/>
          <w:szCs w:val="20"/>
          <w:lang w:eastAsia="en-GB"/>
          <w14:ligatures w14:val="none"/>
        </w:rPr>
        <w:lastRenderedPageBreak/>
        <w:t>substantial subset of ASD cases. In the Iraqi context, where consanguinity and distinct genetic backgrounds may influence immune regulation, the similarity of the prevalence to that reported in Western populations is noteworthy.</w:t>
      </w:r>
    </w:p>
    <w:p w14:paraId="2B9C6F91" w14:textId="77777777" w:rsidR="008A1F14" w:rsidRPr="00062B53" w:rsidRDefault="008A1F1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8688D68" w14:textId="77777777" w:rsidR="00B77644" w:rsidRPr="008A1F1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A1F14">
        <w:rPr>
          <w:rFonts w:ascii="Arial" w:eastAsia="Times New Roman" w:hAnsi="Arial" w:cs="Arial"/>
          <w:i/>
          <w:iCs/>
          <w:color w:val="0F1115"/>
          <w:kern w:val="0"/>
          <w:sz w:val="20"/>
          <w:szCs w:val="20"/>
          <w:lang w:eastAsia="en-GB"/>
          <w14:ligatures w14:val="none"/>
        </w:rPr>
        <w:t>Vitamin D3 depletion in seropositive ASD children</w:t>
      </w:r>
    </w:p>
    <w:p w14:paraId="1E05ACBE" w14:textId="071C5618"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Seropositive children had vitamin D3 levels approximately half those of seronegative children, with a median of 13.74 ng/mL – well into the deficiency range (commonly defined as &lt;20 ng/mL). This profound difference cannot be explained solely by sun exposure, as all children lived in the same sunny climate. Instead, it points to a biological link between the autoantibody</w:t>
      </w:r>
      <w:r w:rsidRPr="00062B53">
        <w:rPr>
          <w:rFonts w:ascii="Arial" w:eastAsia="Times New Roman" w:hAnsi="Arial" w:cs="Arial"/>
          <w:color w:val="0F1115"/>
          <w:kern w:val="0"/>
          <w:sz w:val="20"/>
          <w:szCs w:val="20"/>
          <w:lang w:eastAsia="en-GB"/>
          <w14:ligatures w14:val="none"/>
        </w:rPr>
        <w:noBreakHyphen/>
        <w:t>mediated state and vitamin D metabolism. Vitamin D has well</w:t>
      </w:r>
      <w:r w:rsidRPr="00062B53">
        <w:rPr>
          <w:rFonts w:ascii="Arial" w:eastAsia="Times New Roman" w:hAnsi="Arial" w:cs="Arial"/>
          <w:color w:val="0F1115"/>
          <w:kern w:val="0"/>
          <w:sz w:val="20"/>
          <w:szCs w:val="20"/>
          <w:lang w:eastAsia="en-GB"/>
          <w14:ligatures w14:val="none"/>
        </w:rPr>
        <w:noBreakHyphen/>
        <w:t>established immunomodulatory functions, including suppression of autoreactive B</w:t>
      </w:r>
      <w:r w:rsidRPr="00062B53">
        <w:rPr>
          <w:rFonts w:ascii="Arial" w:eastAsia="Times New Roman" w:hAnsi="Arial" w:cs="Arial"/>
          <w:color w:val="0F1115"/>
          <w:kern w:val="0"/>
          <w:sz w:val="20"/>
          <w:szCs w:val="20"/>
          <w:lang w:eastAsia="en-GB"/>
          <w14:ligatures w14:val="none"/>
        </w:rPr>
        <w:noBreakHyphen/>
        <w:t xml:space="preserve">cell responses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_Ref229650325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11</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Chronic activation of the immune system by FRα autoantibodies may consume or dysregulate vitamin D pathways. Conversely, low vitamin D may predispose to autoimmunity. A bidirectional relationship is plausible. A large meta</w:t>
      </w:r>
      <w:r w:rsidRPr="00062B53">
        <w:rPr>
          <w:rFonts w:ascii="Arial" w:eastAsia="Times New Roman" w:hAnsi="Arial" w:cs="Arial"/>
          <w:color w:val="0F1115"/>
          <w:kern w:val="0"/>
          <w:sz w:val="20"/>
          <w:szCs w:val="20"/>
          <w:lang w:eastAsia="en-GB"/>
          <w14:ligatures w14:val="none"/>
        </w:rPr>
        <w:noBreakHyphen/>
        <w:t xml:space="preserve">analysis by Chen et al. (2021) confirmed that children with ASD have significantly lower vitamin D concentrations than controls, and our data extend this finding by showing that the difference is even more pronounced within the ASD group when stratified by autoantibody status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_Ref229650278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8</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w:t>
      </w:r>
    </w:p>
    <w:p w14:paraId="254086B2" w14:textId="77777777" w:rsidR="008A1F14" w:rsidRPr="00062B53" w:rsidRDefault="008A1F1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AC0C652" w14:textId="77777777" w:rsidR="00B77644" w:rsidRPr="008A1F1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A1F14">
        <w:rPr>
          <w:rFonts w:ascii="Arial" w:eastAsia="Times New Roman" w:hAnsi="Arial" w:cs="Arial"/>
          <w:i/>
          <w:iCs/>
          <w:color w:val="0F1115"/>
          <w:kern w:val="0"/>
          <w:sz w:val="20"/>
          <w:szCs w:val="20"/>
          <w:lang w:eastAsia="en-GB"/>
          <w14:ligatures w14:val="none"/>
        </w:rPr>
        <w:t>Folic acid: a paradox resolved</w:t>
      </w:r>
    </w:p>
    <w:p w14:paraId="308514B4" w14:textId="570F6178"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Seropositive children had lower serum folic acid levels despite having no obvious dietary differences. This might seem paradoxical because the autoantibodies block the receptor, not the vitamin itself. However, a compensatory mechanism can explain the observation: when FRα</w:t>
      </w:r>
      <w:r w:rsidRPr="00062B53">
        <w:rPr>
          <w:rFonts w:ascii="Arial" w:eastAsia="Times New Roman" w:hAnsi="Arial" w:cs="Arial"/>
          <w:color w:val="0F1115"/>
          <w:kern w:val="0"/>
          <w:sz w:val="20"/>
          <w:szCs w:val="20"/>
          <w:lang w:eastAsia="en-GB"/>
          <w14:ligatures w14:val="none"/>
        </w:rPr>
        <w:noBreakHyphen/>
        <w:t xml:space="preserve">mediated transport into the brain is impaired, the body may increase systemic folate utilisation in an attempt to overcome the blockade, thereby depleting peripheral stores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_Ref229650339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12</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This hypothesis is supported by clinical trials showing that very high</w:t>
      </w:r>
      <w:r w:rsidRPr="00062B53">
        <w:rPr>
          <w:rFonts w:ascii="Arial" w:eastAsia="Times New Roman" w:hAnsi="Arial" w:cs="Arial"/>
          <w:color w:val="0F1115"/>
          <w:kern w:val="0"/>
          <w:sz w:val="20"/>
          <w:szCs w:val="20"/>
          <w:lang w:eastAsia="en-GB"/>
          <w14:ligatures w14:val="none"/>
        </w:rPr>
        <w:noBreakHyphen/>
        <w:t xml:space="preserve">dose folinic acid (0.5–2 mg/kg/day) can saturate alternative transport pathways and improve language and behaviour in seropositive ASD children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_Ref229650272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7</w:t>
      </w:r>
      <w:r w:rsidR="00D20AB0">
        <w:rPr>
          <w:rFonts w:ascii="Arial" w:eastAsia="Times New Roman" w:hAnsi="Arial" w:cs="Arial"/>
          <w:color w:val="0000FF"/>
          <w:kern w:val="0"/>
          <w:sz w:val="20"/>
          <w:szCs w:val="20"/>
          <w:lang w:eastAsia="en-GB"/>
          <w14:ligatures w14:val="none"/>
        </w:rPr>
        <w:fldChar w:fldCharType="end"/>
      </w:r>
      <w:r w:rsidRPr="001814FA">
        <w:rPr>
          <w:rFonts w:ascii="Arial" w:eastAsia="Times New Roman" w:hAnsi="Arial" w:cs="Arial"/>
          <w:color w:val="0000FF"/>
          <w:kern w:val="0"/>
          <w:sz w:val="20"/>
          <w:szCs w:val="20"/>
          <w:lang w:eastAsia="en-GB"/>
          <w14:ligatures w14:val="none"/>
        </w:rPr>
        <w:t>,</w:t>
      </w:r>
      <w:r w:rsidR="001814FA" w:rsidRPr="001814FA">
        <w:rPr>
          <w:rFonts w:ascii="Arial" w:eastAsia="Times New Roman" w:hAnsi="Arial" w:cs="Arial"/>
          <w:color w:val="0000FF"/>
          <w:kern w:val="0"/>
          <w:sz w:val="20"/>
          <w:szCs w:val="20"/>
          <w:lang w:eastAsia="en-GB"/>
          <w14:ligatures w14:val="none"/>
        </w:rPr>
        <w:t xml:space="preserve"> </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_Ref229650355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13</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Importantly, our finding underscores that a normal or low</w:t>
      </w:r>
      <w:r w:rsidRPr="00062B53">
        <w:rPr>
          <w:rFonts w:ascii="Arial" w:eastAsia="Times New Roman" w:hAnsi="Arial" w:cs="Arial"/>
          <w:color w:val="0F1115"/>
          <w:kern w:val="0"/>
          <w:sz w:val="20"/>
          <w:szCs w:val="20"/>
          <w:lang w:eastAsia="en-GB"/>
          <w14:ligatures w14:val="none"/>
        </w:rPr>
        <w:noBreakHyphen/>
        <w:t>normal serum folate level does not rule out cerebral folate deficiency; CSF measurement of 5</w:t>
      </w:r>
      <w:r w:rsidRPr="00062B53">
        <w:rPr>
          <w:rFonts w:ascii="Arial" w:eastAsia="Times New Roman" w:hAnsi="Arial" w:cs="Arial"/>
          <w:color w:val="0F1115"/>
          <w:kern w:val="0"/>
          <w:sz w:val="20"/>
          <w:szCs w:val="20"/>
          <w:lang w:eastAsia="en-GB"/>
          <w14:ligatures w14:val="none"/>
        </w:rPr>
        <w:noBreakHyphen/>
        <w:t>MTHF remains the gold standard but was not feasible in this study.</w:t>
      </w:r>
    </w:p>
    <w:p w14:paraId="3147DDEF" w14:textId="77777777" w:rsidR="008A1F14" w:rsidRPr="00062B53" w:rsidRDefault="008A1F1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C77F9DB" w14:textId="77777777" w:rsidR="00B77644" w:rsidRPr="008A1F1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A1F14">
        <w:rPr>
          <w:rFonts w:ascii="Arial" w:eastAsia="Times New Roman" w:hAnsi="Arial" w:cs="Arial"/>
          <w:i/>
          <w:iCs/>
          <w:color w:val="0F1115"/>
          <w:kern w:val="0"/>
          <w:sz w:val="20"/>
          <w:szCs w:val="20"/>
          <w:lang w:eastAsia="en-GB"/>
          <w14:ligatures w14:val="none"/>
        </w:rPr>
        <w:t>Glutathione: the strongest signal</w:t>
      </w:r>
    </w:p>
    <w:p w14:paraId="21B936CE" w14:textId="2A938381"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Reduced glutathione showed the most dramatic difference between seropositive and seronegative children (median 0.83 vs 2.15 </w:t>
      </w:r>
      <w:proofErr w:type="spellStart"/>
      <w:r w:rsidRPr="00062B53">
        <w:rPr>
          <w:rFonts w:ascii="Arial" w:eastAsia="Times New Roman" w:hAnsi="Arial" w:cs="Arial"/>
          <w:color w:val="0F1115"/>
          <w:kern w:val="0"/>
          <w:sz w:val="20"/>
          <w:szCs w:val="20"/>
          <w:lang w:eastAsia="en-GB"/>
          <w14:ligatures w14:val="none"/>
        </w:rPr>
        <w:t>μmol</w:t>
      </w:r>
      <w:proofErr w:type="spellEnd"/>
      <w:r w:rsidRPr="00062B53">
        <w:rPr>
          <w:rFonts w:ascii="Arial" w:eastAsia="Times New Roman" w:hAnsi="Arial" w:cs="Arial"/>
          <w:color w:val="0F1115"/>
          <w:kern w:val="0"/>
          <w:sz w:val="20"/>
          <w:szCs w:val="20"/>
          <w:lang w:eastAsia="en-GB"/>
          <w14:ligatures w14:val="none"/>
        </w:rPr>
        <w:t xml:space="preserve">/L; p&lt;0.001). This is physiologically coherent, as glutathione sits at the intersection of </w:t>
      </w:r>
      <w:r w:rsidRPr="00062B53">
        <w:rPr>
          <w:rFonts w:ascii="Arial" w:eastAsia="Times New Roman" w:hAnsi="Arial" w:cs="Arial"/>
          <w:color w:val="0F1115"/>
          <w:kern w:val="0"/>
          <w:sz w:val="20"/>
          <w:szCs w:val="20"/>
          <w:lang w:eastAsia="en-GB"/>
          <w14:ligatures w14:val="none"/>
        </w:rPr>
        <w:t xml:space="preserve">three pathways affected in seropositive ASD: (1) folate–methionine cycle disruption reduces cysteine availability for GSH synthesis; (2) vitamin D deficiency suppresses the expression of glutathione peroxidase and other antioxidant enzymes; and (3) chronic immune activation itself consumes glutathione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_Ref229650278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8</w:t>
      </w:r>
      <w:r w:rsidR="00D20AB0">
        <w:rPr>
          <w:rFonts w:ascii="Arial" w:eastAsia="Times New Roman" w:hAnsi="Arial" w:cs="Arial"/>
          <w:color w:val="0000FF"/>
          <w:kern w:val="0"/>
          <w:sz w:val="20"/>
          <w:szCs w:val="20"/>
          <w:lang w:eastAsia="en-GB"/>
          <w14:ligatures w14:val="none"/>
        </w:rPr>
        <w:fldChar w:fldCharType="end"/>
      </w:r>
      <w:r w:rsidRPr="001814FA">
        <w:rPr>
          <w:rFonts w:ascii="Arial" w:eastAsia="Times New Roman" w:hAnsi="Arial" w:cs="Arial"/>
          <w:color w:val="0000FF"/>
          <w:kern w:val="0"/>
          <w:sz w:val="20"/>
          <w:szCs w:val="20"/>
          <w:lang w:eastAsia="en-GB"/>
          <w14:ligatures w14:val="none"/>
        </w:rPr>
        <w:t>,</w:t>
      </w:r>
      <w:r w:rsidR="001814FA" w:rsidRPr="001814FA">
        <w:rPr>
          <w:rFonts w:ascii="Arial" w:eastAsia="Times New Roman" w:hAnsi="Arial" w:cs="Arial"/>
          <w:color w:val="0000FF"/>
          <w:kern w:val="0"/>
          <w:sz w:val="20"/>
          <w:szCs w:val="20"/>
          <w:lang w:eastAsia="en-GB"/>
          <w14:ligatures w14:val="none"/>
        </w:rPr>
        <w:t xml:space="preserve"> </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_Ref229650368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14</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The magnitude of the difference (a 2.6</w:t>
      </w:r>
      <w:r w:rsidRPr="00062B53">
        <w:rPr>
          <w:rFonts w:ascii="Arial" w:eastAsia="Times New Roman" w:hAnsi="Arial" w:cs="Arial"/>
          <w:color w:val="0F1115"/>
          <w:kern w:val="0"/>
          <w:sz w:val="20"/>
          <w:szCs w:val="20"/>
          <w:lang w:eastAsia="en-GB"/>
          <w14:ligatures w14:val="none"/>
        </w:rPr>
        <w:noBreakHyphen/>
        <w:t xml:space="preserve">fold lower median in </w:t>
      </w:r>
      <w:proofErr w:type="spellStart"/>
      <w:r w:rsidRPr="00062B53">
        <w:rPr>
          <w:rFonts w:ascii="Arial" w:eastAsia="Times New Roman" w:hAnsi="Arial" w:cs="Arial"/>
          <w:color w:val="0F1115"/>
          <w:kern w:val="0"/>
          <w:sz w:val="20"/>
          <w:szCs w:val="20"/>
          <w:lang w:eastAsia="en-GB"/>
          <w14:ligatures w14:val="none"/>
        </w:rPr>
        <w:t>seropositives</w:t>
      </w:r>
      <w:proofErr w:type="spellEnd"/>
      <w:r w:rsidRPr="00062B53">
        <w:rPr>
          <w:rFonts w:ascii="Arial" w:eastAsia="Times New Roman" w:hAnsi="Arial" w:cs="Arial"/>
          <w:color w:val="0F1115"/>
          <w:kern w:val="0"/>
          <w:sz w:val="20"/>
          <w:szCs w:val="20"/>
          <w:lang w:eastAsia="en-GB"/>
          <w14:ligatures w14:val="none"/>
        </w:rPr>
        <w:t>) suggests that measuring GSH could serve as a functional biomarker of disease burden in this subgroup.</w:t>
      </w:r>
    </w:p>
    <w:p w14:paraId="583B0BB4" w14:textId="77777777" w:rsidR="008A1F14" w:rsidRPr="00062B53" w:rsidRDefault="008A1F1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9783435" w14:textId="77777777" w:rsidR="00B77644" w:rsidRPr="008A1F1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A1F14">
        <w:rPr>
          <w:rFonts w:ascii="Arial" w:eastAsia="Times New Roman" w:hAnsi="Arial" w:cs="Arial"/>
          <w:i/>
          <w:iCs/>
          <w:color w:val="0F1115"/>
          <w:kern w:val="0"/>
          <w:sz w:val="20"/>
          <w:szCs w:val="20"/>
          <w:lang w:eastAsia="en-GB"/>
          <w14:ligatures w14:val="none"/>
        </w:rPr>
        <w:t>Autism severity</w:t>
      </w:r>
    </w:p>
    <w:p w14:paraId="7377B802" w14:textId="32D2888E"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The strong association between seropositivity and severe ASD (63.0% vs 14.3%) is clinically important. It suggests that the autoantibody</w:t>
      </w:r>
      <w:r w:rsidRPr="00062B53">
        <w:rPr>
          <w:rFonts w:ascii="Arial" w:eastAsia="Times New Roman" w:hAnsi="Arial" w:cs="Arial"/>
          <w:color w:val="0F1115"/>
          <w:kern w:val="0"/>
          <w:sz w:val="20"/>
          <w:szCs w:val="20"/>
          <w:lang w:eastAsia="en-GB"/>
          <w14:ligatures w14:val="none"/>
        </w:rPr>
        <w:noBreakHyphen/>
        <w:t>mediated metabolic disturbance is not a benign epiphenomenon but directly contributes to symptom expression. Previous studies have reported that children with CFD</w:t>
      </w:r>
      <w:r w:rsidRPr="00062B53">
        <w:rPr>
          <w:rFonts w:ascii="Arial" w:eastAsia="Times New Roman" w:hAnsi="Arial" w:cs="Arial"/>
          <w:color w:val="0F1115"/>
          <w:kern w:val="0"/>
          <w:sz w:val="20"/>
          <w:szCs w:val="20"/>
          <w:lang w:eastAsia="en-GB"/>
          <w14:ligatures w14:val="none"/>
        </w:rPr>
        <w:noBreakHyphen/>
        <w:t xml:space="preserve">related ASD are more likely to have regressive onset, motor stereotypies and refractory epilepsy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_Ref229650253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5</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Our data add to this picture by linking seropositivity to global severity as measured by a standardised scale.</w:t>
      </w:r>
    </w:p>
    <w:p w14:paraId="76AA1876" w14:textId="77777777" w:rsidR="008A1F14" w:rsidRPr="00062B53" w:rsidRDefault="008A1F1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2DB0E00" w14:textId="77777777" w:rsidR="00B77644" w:rsidRPr="008A1F1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A1F14">
        <w:rPr>
          <w:rFonts w:ascii="Arial" w:eastAsia="Times New Roman" w:hAnsi="Arial" w:cs="Arial"/>
          <w:i/>
          <w:iCs/>
          <w:color w:val="0F1115"/>
          <w:kern w:val="0"/>
          <w:sz w:val="20"/>
          <w:szCs w:val="20"/>
          <w:lang w:eastAsia="en-GB"/>
          <w14:ligatures w14:val="none"/>
        </w:rPr>
        <w:t>Environmental and maternal factors</w:t>
      </w:r>
    </w:p>
    <w:p w14:paraId="38B4F7C8" w14:textId="77D63AAA"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Mothers of ASD children had lower folic acid supplementation rates and higher prenatal stress exposure. These findings align with the emerging literature that both nutritional and psychosocial factors during critical developmental windows alter the risk of ASD </w:t>
      </w:r>
      <w:r w:rsidR="001814FA" w:rsidRP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_Ref229650391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15</w:t>
      </w:r>
      <w:r w:rsidR="00D20AB0">
        <w:rPr>
          <w:rFonts w:ascii="Arial" w:eastAsia="Times New Roman" w:hAnsi="Arial" w:cs="Arial"/>
          <w:color w:val="0000FF"/>
          <w:kern w:val="0"/>
          <w:sz w:val="20"/>
          <w:szCs w:val="20"/>
          <w:lang w:eastAsia="en-GB"/>
          <w14:ligatures w14:val="none"/>
        </w:rPr>
        <w:fldChar w:fldCharType="end"/>
      </w:r>
      <w:r w:rsidRPr="001814FA">
        <w:rPr>
          <w:rFonts w:ascii="Arial" w:eastAsia="Times New Roman" w:hAnsi="Arial" w:cs="Arial"/>
          <w:color w:val="0000FF"/>
          <w:kern w:val="0"/>
          <w:sz w:val="20"/>
          <w:szCs w:val="20"/>
          <w:lang w:eastAsia="en-GB"/>
          <w14:ligatures w14:val="none"/>
        </w:rPr>
        <w:t>,</w:t>
      </w:r>
      <w:r w:rsidR="001814FA" w:rsidRPr="001814FA">
        <w:rPr>
          <w:rFonts w:ascii="Arial" w:eastAsia="Times New Roman" w:hAnsi="Arial" w:cs="Arial"/>
          <w:color w:val="0000FF"/>
          <w:kern w:val="0"/>
          <w:sz w:val="20"/>
          <w:szCs w:val="20"/>
          <w:lang w:eastAsia="en-GB"/>
          <w14:ligatures w14:val="none"/>
        </w:rPr>
        <w:t xml:space="preserve"> </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_Ref229650397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16</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Interestingly, the complete absence of reported prenatal stress in the control group should be interpreted cautiously, as retrospective recall bias is likely. Nevertheless, the association is biologically plausible because prenatal stress activates the maternal hypothalamic</w:t>
      </w:r>
      <w:r w:rsidRPr="00062B53">
        <w:rPr>
          <w:rFonts w:ascii="Arial" w:eastAsia="Times New Roman" w:hAnsi="Arial" w:cs="Arial"/>
          <w:color w:val="0F1115"/>
          <w:kern w:val="0"/>
          <w:sz w:val="20"/>
          <w:szCs w:val="20"/>
          <w:lang w:eastAsia="en-GB"/>
          <w14:ligatures w14:val="none"/>
        </w:rPr>
        <w:noBreakHyphen/>
        <w:t>pituitary</w:t>
      </w:r>
      <w:r w:rsidRPr="00062B53">
        <w:rPr>
          <w:rFonts w:ascii="Arial" w:eastAsia="Times New Roman" w:hAnsi="Arial" w:cs="Arial"/>
          <w:color w:val="0F1115"/>
          <w:kern w:val="0"/>
          <w:sz w:val="20"/>
          <w:szCs w:val="20"/>
          <w:lang w:eastAsia="en-GB"/>
          <w14:ligatures w14:val="none"/>
        </w:rPr>
        <w:noBreakHyphen/>
        <w:t>adrenal axis, raising cortisol and inflammatory cytokines that can cross the placenta and affect f</w:t>
      </w:r>
      <w:r w:rsidR="00496029">
        <w:rPr>
          <w:rFonts w:ascii="Arial" w:eastAsia="Times New Roman" w:hAnsi="Arial" w:cs="Arial"/>
          <w:color w:val="0F1115"/>
          <w:kern w:val="0"/>
          <w:sz w:val="20"/>
          <w:szCs w:val="20"/>
          <w:lang w:eastAsia="en-GB"/>
          <w14:ligatures w14:val="none"/>
        </w:rPr>
        <w:t>o</w:t>
      </w:r>
      <w:r w:rsidRPr="00062B53">
        <w:rPr>
          <w:rFonts w:ascii="Arial" w:eastAsia="Times New Roman" w:hAnsi="Arial" w:cs="Arial"/>
          <w:color w:val="0F1115"/>
          <w:kern w:val="0"/>
          <w:sz w:val="20"/>
          <w:szCs w:val="20"/>
          <w:lang w:eastAsia="en-GB"/>
          <w14:ligatures w14:val="none"/>
        </w:rPr>
        <w:t xml:space="preserve">etal brain development </w:t>
      </w:r>
      <w:r w:rsid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_Ref229650402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17</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w:t>
      </w:r>
    </w:p>
    <w:p w14:paraId="11928F12" w14:textId="5ABE19C9"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The lower milk consumption in the ASD group (60% vs 90%) may be related to the well</w:t>
      </w:r>
      <w:r w:rsidRPr="00062B53">
        <w:rPr>
          <w:rFonts w:ascii="Arial" w:eastAsia="Times New Roman" w:hAnsi="Arial" w:cs="Arial"/>
          <w:color w:val="0F1115"/>
          <w:kern w:val="0"/>
          <w:sz w:val="20"/>
          <w:szCs w:val="20"/>
          <w:lang w:eastAsia="en-GB"/>
          <w14:ligatures w14:val="none"/>
        </w:rPr>
        <w:noBreakHyphen/>
        <w:t xml:space="preserve">documented food selectivity and avoidance behaviours in ASD, including lactose intolerance or gastrointestinal discomfort that is common in this population </w:t>
      </w:r>
      <w:r w:rsidR="001814FA">
        <w:rPr>
          <w:rFonts w:ascii="Arial" w:eastAsia="Times New Roman" w:hAnsi="Arial" w:cs="Arial"/>
          <w:color w:val="0000FF"/>
          <w:kern w:val="0"/>
          <w:sz w:val="20"/>
          <w:szCs w:val="20"/>
          <w:lang w:eastAsia="en-GB"/>
          <w14:ligatures w14:val="none"/>
        </w:rPr>
        <w:t>(</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_Ref229650409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18</w:t>
      </w:r>
      <w:r w:rsidR="00D20AB0">
        <w:rPr>
          <w:rFonts w:ascii="Arial" w:eastAsia="Times New Roman" w:hAnsi="Arial" w:cs="Arial"/>
          <w:color w:val="0000FF"/>
          <w:kern w:val="0"/>
          <w:sz w:val="20"/>
          <w:szCs w:val="20"/>
          <w:lang w:eastAsia="en-GB"/>
          <w14:ligatures w14:val="none"/>
        </w:rPr>
        <w:fldChar w:fldCharType="end"/>
      </w:r>
      <w:r w:rsidR="006876D4" w:rsidRPr="001814FA">
        <w:rPr>
          <w:rFonts w:ascii="Arial" w:eastAsia="Times New Roman" w:hAnsi="Arial" w:cs="Arial"/>
          <w:color w:val="0000FF"/>
          <w:kern w:val="0"/>
          <w:sz w:val="20"/>
          <w:szCs w:val="20"/>
          <w:lang w:eastAsia="en-GB"/>
          <w14:ligatures w14:val="none"/>
        </w:rPr>
        <w:t xml:space="preserve">, </w:t>
      </w:r>
      <w:r w:rsidR="00D20AB0">
        <w:rPr>
          <w:rFonts w:ascii="Arial" w:eastAsia="Times New Roman" w:hAnsi="Arial" w:cs="Arial"/>
          <w:color w:val="0000FF"/>
          <w:kern w:val="0"/>
          <w:sz w:val="20"/>
          <w:szCs w:val="20"/>
          <w:lang w:eastAsia="en-GB"/>
          <w14:ligatures w14:val="none"/>
        </w:rPr>
        <w:fldChar w:fldCharType="begin"/>
      </w:r>
      <w:r w:rsidR="00D20AB0">
        <w:rPr>
          <w:rFonts w:ascii="Arial" w:eastAsia="Times New Roman" w:hAnsi="Arial" w:cs="Arial"/>
          <w:color w:val="0000FF"/>
          <w:kern w:val="0"/>
          <w:sz w:val="20"/>
          <w:szCs w:val="20"/>
          <w:lang w:eastAsia="en-GB"/>
          <w14:ligatures w14:val="none"/>
        </w:rPr>
        <w:instrText xml:space="preserve"> REF _Ref229650414 \r \h </w:instrText>
      </w:r>
      <w:r w:rsidR="00D20AB0">
        <w:rPr>
          <w:rFonts w:ascii="Arial" w:eastAsia="Times New Roman" w:hAnsi="Arial" w:cs="Arial"/>
          <w:color w:val="0000FF"/>
          <w:kern w:val="0"/>
          <w:sz w:val="20"/>
          <w:szCs w:val="20"/>
          <w:lang w:eastAsia="en-GB"/>
          <w14:ligatures w14:val="none"/>
        </w:rPr>
      </w:r>
      <w:r w:rsidR="00D20AB0">
        <w:rPr>
          <w:rFonts w:ascii="Arial" w:eastAsia="Times New Roman" w:hAnsi="Arial" w:cs="Arial"/>
          <w:color w:val="0000FF"/>
          <w:kern w:val="0"/>
          <w:sz w:val="20"/>
          <w:szCs w:val="20"/>
          <w:lang w:eastAsia="en-GB"/>
          <w14:ligatures w14:val="none"/>
        </w:rPr>
        <w:fldChar w:fldCharType="separate"/>
      </w:r>
      <w:r w:rsidR="00D20AB0">
        <w:rPr>
          <w:rFonts w:ascii="Arial" w:eastAsia="Times New Roman" w:hAnsi="Arial" w:cs="Arial"/>
          <w:color w:val="0000FF"/>
          <w:kern w:val="0"/>
          <w:sz w:val="20"/>
          <w:szCs w:val="20"/>
          <w:lang w:eastAsia="en-GB"/>
          <w14:ligatures w14:val="none"/>
        </w:rPr>
        <w:t>19</w:t>
      </w:r>
      <w:r w:rsidR="00D20AB0">
        <w:rPr>
          <w:rFonts w:ascii="Arial" w:eastAsia="Times New Roman" w:hAnsi="Arial" w:cs="Arial"/>
          <w:color w:val="0000FF"/>
          <w:kern w:val="0"/>
          <w:sz w:val="20"/>
          <w:szCs w:val="20"/>
          <w:lang w:eastAsia="en-GB"/>
          <w14:ligatures w14:val="none"/>
        </w:rPr>
        <w:fldChar w:fldCharType="end"/>
      </w:r>
      <w:r w:rsidR="001814FA" w:rsidRPr="001814FA">
        <w:rPr>
          <w:rFonts w:ascii="Arial" w:eastAsia="Times New Roman" w:hAnsi="Arial" w:cs="Arial"/>
          <w:color w:val="0000FF"/>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Whether milk restriction is a cause or consequence of ASD</w:t>
      </w:r>
      <w:r w:rsidRPr="00062B53">
        <w:rPr>
          <w:rFonts w:ascii="Arial" w:eastAsia="Times New Roman" w:hAnsi="Arial" w:cs="Arial"/>
          <w:color w:val="0F1115"/>
          <w:kern w:val="0"/>
          <w:sz w:val="20"/>
          <w:szCs w:val="20"/>
          <w:lang w:eastAsia="en-GB"/>
          <w14:ligatures w14:val="none"/>
        </w:rPr>
        <w:noBreakHyphen/>
        <w:t>related gastrointestinal symptoms remains unclear.</w:t>
      </w:r>
    </w:p>
    <w:p w14:paraId="29A4F899" w14:textId="77777777" w:rsidR="008A1F14" w:rsidRPr="00062B53" w:rsidRDefault="008A1F1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3E877018" w14:textId="77777777" w:rsidR="00B77644" w:rsidRPr="008A1F14"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8A1F14">
        <w:rPr>
          <w:rFonts w:ascii="Arial" w:eastAsia="Times New Roman" w:hAnsi="Arial" w:cs="Arial"/>
          <w:i/>
          <w:iCs/>
          <w:color w:val="0F1115"/>
          <w:kern w:val="0"/>
          <w:sz w:val="20"/>
          <w:szCs w:val="20"/>
          <w:lang w:eastAsia="en-GB"/>
          <w14:ligatures w14:val="none"/>
        </w:rPr>
        <w:t>Strengths and limitations</w:t>
      </w:r>
    </w:p>
    <w:p w14:paraId="6CE4184A" w14:textId="77777777" w:rsidR="00B77644" w:rsidRPr="008A1F1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8A1F14">
        <w:rPr>
          <w:rFonts w:ascii="Arial" w:eastAsia="Times New Roman" w:hAnsi="Arial" w:cs="Arial"/>
          <w:color w:val="0F1115"/>
          <w:kern w:val="0"/>
          <w:sz w:val="20"/>
          <w:szCs w:val="20"/>
          <w:lang w:eastAsia="en-GB"/>
          <w14:ligatures w14:val="none"/>
        </w:rPr>
        <w:t>Strengths of this study include: (1) the simultaneous measurement of four biologically interrelated biomarkers in a well</w:t>
      </w:r>
      <w:r w:rsidRPr="008A1F14">
        <w:rPr>
          <w:rFonts w:ascii="Arial" w:eastAsia="Times New Roman" w:hAnsi="Arial" w:cs="Arial"/>
          <w:color w:val="0F1115"/>
          <w:kern w:val="0"/>
          <w:sz w:val="20"/>
          <w:szCs w:val="20"/>
          <w:lang w:eastAsia="en-GB"/>
          <w14:ligatures w14:val="none"/>
        </w:rPr>
        <w:noBreakHyphen/>
        <w:t>characterised clinical sample; (2) careful age</w:t>
      </w:r>
      <w:r w:rsidRPr="008A1F14">
        <w:rPr>
          <w:rFonts w:ascii="Arial" w:eastAsia="Times New Roman" w:hAnsi="Arial" w:cs="Arial"/>
          <w:color w:val="0F1115"/>
          <w:kern w:val="0"/>
          <w:sz w:val="20"/>
          <w:szCs w:val="20"/>
          <w:lang w:eastAsia="en-GB"/>
          <w14:ligatures w14:val="none"/>
        </w:rPr>
        <w:noBreakHyphen/>
        <w:t xml:space="preserve"> and sex</w:t>
      </w:r>
      <w:r w:rsidRPr="008A1F14">
        <w:rPr>
          <w:rFonts w:ascii="Arial" w:eastAsia="Times New Roman" w:hAnsi="Arial" w:cs="Arial"/>
          <w:color w:val="0F1115"/>
          <w:kern w:val="0"/>
          <w:sz w:val="20"/>
          <w:szCs w:val="20"/>
          <w:lang w:eastAsia="en-GB"/>
          <w14:ligatures w14:val="none"/>
        </w:rPr>
        <w:noBreakHyphen/>
        <w:t>matching to reduce confounding; and (3) the first report from Iraq, a region where ASD research is scarce.</w:t>
      </w:r>
    </w:p>
    <w:p w14:paraId="0584CB58" w14:textId="77777777" w:rsidR="00B77644" w:rsidRPr="008A1F1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8A1F14">
        <w:rPr>
          <w:rFonts w:ascii="Arial" w:eastAsia="Times New Roman" w:hAnsi="Arial" w:cs="Arial"/>
          <w:color w:val="0F1115"/>
          <w:kern w:val="0"/>
          <w:sz w:val="20"/>
          <w:szCs w:val="20"/>
          <w:lang w:eastAsia="en-GB"/>
          <w14:ligatures w14:val="none"/>
        </w:rPr>
        <w:lastRenderedPageBreak/>
        <w:t>Limitations must be acknowledged. First, the sample size is relatively small and derived from a single governorate, limiting generalisability to other Iraqi or Middle Eastern populations. Second, the cross</w:t>
      </w:r>
      <w:r w:rsidRPr="008A1F14">
        <w:rPr>
          <w:rFonts w:ascii="Arial" w:eastAsia="Times New Roman" w:hAnsi="Arial" w:cs="Arial"/>
          <w:color w:val="0F1115"/>
          <w:kern w:val="0"/>
          <w:sz w:val="20"/>
          <w:szCs w:val="20"/>
          <w:lang w:eastAsia="en-GB"/>
          <w14:ligatures w14:val="none"/>
        </w:rPr>
        <w:noBreakHyphen/>
        <w:t>sectional design precludes any causal inference; we cannot determine whether the autoantibodies cause the metabolic abnormalities or vice versa. Third, cerebral folate status was inferred from serum anti</w:t>
      </w:r>
      <w:r w:rsidRPr="008A1F14">
        <w:rPr>
          <w:rFonts w:ascii="Arial" w:eastAsia="Times New Roman" w:hAnsi="Arial" w:cs="Arial"/>
          <w:color w:val="0F1115"/>
          <w:kern w:val="0"/>
          <w:sz w:val="20"/>
          <w:szCs w:val="20"/>
          <w:lang w:eastAsia="en-GB"/>
          <w14:ligatures w14:val="none"/>
        </w:rPr>
        <w:noBreakHyphen/>
        <w:t>FOLR1 antibodies and peripheral folate levels; direct measurement of CSF 5</w:t>
      </w:r>
      <w:r w:rsidRPr="008A1F14">
        <w:rPr>
          <w:rFonts w:ascii="Arial" w:eastAsia="Times New Roman" w:hAnsi="Arial" w:cs="Arial"/>
          <w:color w:val="0F1115"/>
          <w:kern w:val="0"/>
          <w:sz w:val="20"/>
          <w:szCs w:val="20"/>
          <w:lang w:eastAsia="en-GB"/>
          <w14:ligatures w14:val="none"/>
        </w:rPr>
        <w:noBreakHyphen/>
        <w:t>MTHF would be the gold standard but was not ethically or practically feasible in this community</w:t>
      </w:r>
      <w:r w:rsidRPr="008A1F14">
        <w:rPr>
          <w:rFonts w:ascii="Arial" w:eastAsia="Times New Roman" w:hAnsi="Arial" w:cs="Arial"/>
          <w:color w:val="0F1115"/>
          <w:kern w:val="0"/>
          <w:sz w:val="20"/>
          <w:szCs w:val="20"/>
          <w:lang w:eastAsia="en-GB"/>
          <w14:ligatures w14:val="none"/>
        </w:rPr>
        <w:noBreakHyphen/>
        <w:t>based study. Fourth, the use of retrospective parental reports for prenatal stress and folic acid supplementation introduces potential recall bias. Fifth, the cut</w:t>
      </w:r>
      <w:r w:rsidRPr="008A1F14">
        <w:rPr>
          <w:rFonts w:ascii="Arial" w:eastAsia="Times New Roman" w:hAnsi="Arial" w:cs="Arial"/>
          <w:color w:val="0F1115"/>
          <w:kern w:val="0"/>
          <w:sz w:val="20"/>
          <w:szCs w:val="20"/>
          <w:lang w:eastAsia="en-GB"/>
          <w14:ligatures w14:val="none"/>
        </w:rPr>
        <w:noBreakHyphen/>
        <w:t>off for anti</w:t>
      </w:r>
      <w:r w:rsidRPr="008A1F14">
        <w:rPr>
          <w:rFonts w:ascii="Arial" w:eastAsia="Times New Roman" w:hAnsi="Arial" w:cs="Arial"/>
          <w:color w:val="0F1115"/>
          <w:kern w:val="0"/>
          <w:sz w:val="20"/>
          <w:szCs w:val="20"/>
          <w:lang w:eastAsia="en-GB"/>
          <w14:ligatures w14:val="none"/>
        </w:rPr>
        <w:noBreakHyphen/>
        <w:t>FOLR1 positivity was based on the manufacturer’s recommendations, which may not be validated for the Iraqi population. Sixth, we did not perform adjustment for multiple comparisons, which increases the risk of type I errors; however, the p</w:t>
      </w:r>
      <w:r w:rsidRPr="008A1F14">
        <w:rPr>
          <w:rFonts w:ascii="Arial" w:eastAsia="Times New Roman" w:hAnsi="Arial" w:cs="Arial"/>
          <w:color w:val="0F1115"/>
          <w:kern w:val="0"/>
          <w:sz w:val="20"/>
          <w:szCs w:val="20"/>
          <w:lang w:eastAsia="en-GB"/>
          <w14:ligatures w14:val="none"/>
        </w:rPr>
        <w:noBreakHyphen/>
        <w:t>values for the primary comparisons were sufficiently small (&lt;0.001 to 0.002) that they would remain significant after Bonferroni correction (adjusted threshold 0.05/3 = 0.017). Seventh, the sex distribution (50% female) does not reflect the community prevalence of ASD (which is typically higher in males), meaning our sample may over</w:t>
      </w:r>
      <w:r w:rsidRPr="008A1F14">
        <w:rPr>
          <w:rFonts w:ascii="Arial" w:eastAsia="Times New Roman" w:hAnsi="Arial" w:cs="Arial"/>
          <w:color w:val="0F1115"/>
          <w:kern w:val="0"/>
          <w:sz w:val="20"/>
          <w:szCs w:val="20"/>
          <w:lang w:eastAsia="en-GB"/>
          <w14:ligatures w14:val="none"/>
        </w:rPr>
        <w:noBreakHyphen/>
        <w:t>represent females or be a selected subgroup. Finally, we were unable to perform the planned logistic regression and ROC analyses because of sample size constraints and the absence of an independent validation cohort.</w:t>
      </w:r>
    </w:p>
    <w:p w14:paraId="52799734"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8A1F14">
        <w:rPr>
          <w:rFonts w:ascii="Arial" w:eastAsia="Times New Roman" w:hAnsi="Arial" w:cs="Arial"/>
          <w:color w:val="0F1115"/>
          <w:kern w:val="0"/>
          <w:sz w:val="20"/>
          <w:szCs w:val="20"/>
          <w:lang w:eastAsia="en-GB"/>
          <w14:ligatures w14:val="none"/>
        </w:rPr>
        <w:t>Future directions should include larger, multi</w:t>
      </w:r>
      <w:r w:rsidRPr="008A1F14">
        <w:rPr>
          <w:rFonts w:ascii="Arial" w:eastAsia="Times New Roman" w:hAnsi="Arial" w:cs="Arial"/>
          <w:color w:val="0F1115"/>
          <w:kern w:val="0"/>
          <w:sz w:val="20"/>
          <w:szCs w:val="20"/>
          <w:lang w:eastAsia="en-GB"/>
          <w14:ligatures w14:val="none"/>
        </w:rPr>
        <w:noBreakHyphen/>
        <w:t>centre prospective studies that measure CSF 5</w:t>
      </w:r>
      <w:r w:rsidRPr="008A1F14">
        <w:rPr>
          <w:rFonts w:ascii="Arial" w:eastAsia="Times New Roman" w:hAnsi="Arial" w:cs="Arial"/>
          <w:color w:val="0F1115"/>
          <w:kern w:val="0"/>
          <w:sz w:val="20"/>
          <w:szCs w:val="20"/>
          <w:lang w:eastAsia="en-GB"/>
          <w14:ligatures w14:val="none"/>
        </w:rPr>
        <w:noBreakHyphen/>
        <w:t xml:space="preserve">MTHF </w:t>
      </w:r>
      <w:r w:rsidRPr="00062B53">
        <w:rPr>
          <w:rFonts w:ascii="Arial" w:eastAsia="Times New Roman" w:hAnsi="Arial" w:cs="Arial"/>
          <w:color w:val="0F1115"/>
          <w:kern w:val="0"/>
          <w:sz w:val="20"/>
          <w:szCs w:val="20"/>
          <w:lang w:eastAsia="en-GB"/>
          <w14:ligatures w14:val="none"/>
        </w:rPr>
        <w:t>directly, perform longitudinal biomarker monitoring, and test whether folinic acid and/or vitamin D supplementation improves outcomes in seropositive children. Randomised controlled trials targeting this specific biological subtype are urgently needed.</w:t>
      </w:r>
    </w:p>
    <w:p w14:paraId="1DAA947D" w14:textId="38E1DBD3" w:rsidR="00B77644" w:rsidRPr="00062B53" w:rsidRDefault="00B77644" w:rsidP="00847404">
      <w:pPr>
        <w:spacing w:after="0" w:line="240" w:lineRule="auto"/>
        <w:jc w:val="both"/>
        <w:rPr>
          <w:rFonts w:ascii="Arial" w:eastAsia="Times New Roman" w:hAnsi="Arial" w:cs="Arial"/>
          <w:kern w:val="0"/>
          <w:sz w:val="20"/>
          <w:szCs w:val="20"/>
          <w:lang w:eastAsia="en-GB"/>
          <w14:ligatures w14:val="none"/>
        </w:rPr>
      </w:pPr>
    </w:p>
    <w:p w14:paraId="340F36C9"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Conclusion</w:t>
      </w:r>
    </w:p>
    <w:p w14:paraId="46B57969" w14:textId="77777777"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This study demonstrates that children with ASD who carry folate receptor alpha autoantibodies exhibit profound depletion of vitamin D3, folic acid and reduced glutathione, and have significantly more severe clinical presentations compared with seronegative ASD children. The findings support the existence of a distinct metabolic</w:t>
      </w:r>
      <w:r w:rsidRPr="00062B53">
        <w:rPr>
          <w:rFonts w:ascii="Arial" w:eastAsia="Times New Roman" w:hAnsi="Arial" w:cs="Arial"/>
          <w:color w:val="0F1115"/>
          <w:kern w:val="0"/>
          <w:sz w:val="20"/>
          <w:szCs w:val="20"/>
          <w:lang w:eastAsia="en-GB"/>
          <w14:ligatures w14:val="none"/>
        </w:rPr>
        <w:noBreakHyphen/>
        <w:t>immunological endophenotype within the autism spectrum. While these results are preliminary and require replication, they provide a strong rationale for routine screening for FRα autoantibodies in children with ASD, particularly those with regressive features or severe symptoms, and for considering targeted nutritional and immunological interventions.</w:t>
      </w:r>
    </w:p>
    <w:p w14:paraId="3AFF9A6B" w14:textId="4BBB0A1D" w:rsidR="00B77644" w:rsidRPr="00062B53" w:rsidRDefault="00B77644" w:rsidP="00847404">
      <w:pPr>
        <w:spacing w:after="0" w:line="240" w:lineRule="auto"/>
        <w:jc w:val="both"/>
        <w:rPr>
          <w:rFonts w:ascii="Arial" w:eastAsia="Times New Roman" w:hAnsi="Arial" w:cs="Arial"/>
          <w:kern w:val="0"/>
          <w:sz w:val="20"/>
          <w:szCs w:val="20"/>
          <w:lang w:eastAsia="en-GB"/>
          <w14:ligatures w14:val="none"/>
        </w:rPr>
      </w:pPr>
    </w:p>
    <w:p w14:paraId="7AD3DC93"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List of Abbreviations</w:t>
      </w:r>
    </w:p>
    <w:p w14:paraId="6F968A80" w14:textId="04863200"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5 MTHF</w:t>
      </w:r>
      <w:r>
        <w:rPr>
          <w:rFonts w:ascii="Arial" w:eastAsia="Times New Roman" w:hAnsi="Arial" w:cs="Arial"/>
          <w:kern w:val="0"/>
          <w:sz w:val="20"/>
          <w:szCs w:val="20"/>
          <w:lang w:eastAsia="en-GB"/>
          <w14:ligatures w14:val="none"/>
        </w:rPr>
        <w:t>:</w:t>
      </w:r>
      <w:r w:rsidR="008D0BFA">
        <w:rPr>
          <w:rFonts w:ascii="Arial" w:eastAsia="Times New Roman" w:hAnsi="Arial" w:cs="Arial"/>
          <w:kern w:val="0"/>
          <w:sz w:val="20"/>
          <w:szCs w:val="20"/>
          <w:lang w:eastAsia="en-GB"/>
          <w14:ligatures w14:val="none"/>
        </w:rPr>
        <w:t xml:space="preserve"> </w:t>
      </w:r>
      <w:r w:rsidRPr="00AC66AC">
        <w:rPr>
          <w:rFonts w:ascii="Arial" w:eastAsia="Times New Roman" w:hAnsi="Arial" w:cs="Arial"/>
          <w:kern w:val="0"/>
          <w:sz w:val="20"/>
          <w:szCs w:val="20"/>
          <w:lang w:eastAsia="en-GB"/>
          <w14:ligatures w14:val="none"/>
        </w:rPr>
        <w:t xml:space="preserve">5 </w:t>
      </w:r>
      <w:proofErr w:type="spellStart"/>
      <w:r w:rsidRPr="00AC66AC">
        <w:rPr>
          <w:rFonts w:ascii="Arial" w:eastAsia="Times New Roman" w:hAnsi="Arial" w:cs="Arial"/>
          <w:kern w:val="0"/>
          <w:sz w:val="20"/>
          <w:szCs w:val="20"/>
          <w:lang w:eastAsia="en-GB"/>
          <w14:ligatures w14:val="none"/>
        </w:rPr>
        <w:t>methyltetrahydrofolate</w:t>
      </w:r>
      <w:proofErr w:type="spellEnd"/>
    </w:p>
    <w:p w14:paraId="7D4C4742" w14:textId="512BAB30"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ASD</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Autism spectrum disorder</w:t>
      </w:r>
    </w:p>
    <w:p w14:paraId="7256AB6E" w14:textId="76E04A9A"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CARS</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Childhood Autism Rating Scale</w:t>
      </w:r>
    </w:p>
    <w:p w14:paraId="01FB8FEE" w14:textId="743B290D"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CFD</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Cerebral folate deficiency</w:t>
      </w:r>
    </w:p>
    <w:p w14:paraId="2ACD3F68" w14:textId="2ACFF879"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DSM 5</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Diagnostic and Statistical Manual of Mental Disorders, Fifth Edition</w:t>
      </w:r>
    </w:p>
    <w:p w14:paraId="1F063720" w14:textId="3DDF6CFB"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EDTA</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Ethylenediaminetetraacetic acid</w:t>
      </w:r>
    </w:p>
    <w:p w14:paraId="4C7D95E6" w14:textId="1423AB24"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ELISA</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Pr>
          <w:rFonts w:ascii="Arial" w:eastAsia="Times New Roman" w:hAnsi="Arial" w:cs="Arial"/>
          <w:kern w:val="0"/>
          <w:sz w:val="20"/>
          <w:szCs w:val="20"/>
          <w:lang w:eastAsia="en-GB"/>
          <w14:ligatures w14:val="none"/>
        </w:rPr>
        <w:t>Enzyme-linked</w:t>
      </w:r>
      <w:r w:rsidRPr="00AC66AC">
        <w:rPr>
          <w:rFonts w:ascii="Arial" w:eastAsia="Times New Roman" w:hAnsi="Arial" w:cs="Arial"/>
          <w:kern w:val="0"/>
          <w:sz w:val="20"/>
          <w:szCs w:val="20"/>
          <w:lang w:eastAsia="en-GB"/>
          <w14:ligatures w14:val="none"/>
        </w:rPr>
        <w:t xml:space="preserve"> immunosorbent assay</w:t>
      </w:r>
    </w:p>
    <w:p w14:paraId="08EC7924" w14:textId="5BA1A774"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FOLR1</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Folate receptor alpha gene</w:t>
      </w:r>
    </w:p>
    <w:p w14:paraId="72F012B9" w14:textId="3EA08B34"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FRα</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Folate receptor alpha</w:t>
      </w:r>
    </w:p>
    <w:p w14:paraId="7F0B2955" w14:textId="69C66D70"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GSH</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Reduced glutathione</w:t>
      </w:r>
    </w:p>
    <w:p w14:paraId="6A3D91E5" w14:textId="3F14D814"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IQR</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Interquartile range</w:t>
      </w:r>
    </w:p>
    <w:p w14:paraId="5712ED4F" w14:textId="5BC49727"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ROC</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Receiver operating characteristic</w:t>
      </w:r>
    </w:p>
    <w:p w14:paraId="0C26D7DA" w14:textId="14103542" w:rsidR="00AC66AC" w:rsidRPr="00AC66AC"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SD</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Standard deviation</w:t>
      </w:r>
    </w:p>
    <w:p w14:paraId="7D3ACDA6" w14:textId="2B38DB28" w:rsidR="00B77644" w:rsidRDefault="00AC66AC" w:rsidP="00AC66AC">
      <w:pPr>
        <w:spacing w:after="0" w:line="240" w:lineRule="auto"/>
        <w:jc w:val="both"/>
        <w:rPr>
          <w:rFonts w:ascii="Arial" w:eastAsia="Times New Roman" w:hAnsi="Arial" w:cs="Arial"/>
          <w:kern w:val="0"/>
          <w:sz w:val="20"/>
          <w:szCs w:val="20"/>
          <w:lang w:eastAsia="en-GB"/>
          <w14:ligatures w14:val="none"/>
        </w:rPr>
      </w:pPr>
      <w:r w:rsidRPr="00AC66AC">
        <w:rPr>
          <w:rFonts w:ascii="Arial" w:eastAsia="Times New Roman" w:hAnsi="Arial" w:cs="Arial"/>
          <w:kern w:val="0"/>
          <w:sz w:val="20"/>
          <w:szCs w:val="20"/>
          <w:lang w:eastAsia="en-GB"/>
          <w14:ligatures w14:val="none"/>
        </w:rPr>
        <w:t>SPSS</w:t>
      </w:r>
      <w:r>
        <w:rPr>
          <w:rFonts w:ascii="Arial" w:eastAsia="Times New Roman" w:hAnsi="Arial" w:cs="Arial"/>
          <w:kern w:val="0"/>
          <w:sz w:val="20"/>
          <w:szCs w:val="20"/>
          <w:lang w:eastAsia="en-GB"/>
          <w14:ligatures w14:val="none"/>
        </w:rPr>
        <w:t>:</w:t>
      </w:r>
      <w:r w:rsidR="001814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 xml:space="preserve">Statistical Package for the Social </w:t>
      </w:r>
      <w:r w:rsidR="008D0BFA">
        <w:rPr>
          <w:rFonts w:ascii="Arial" w:eastAsia="Times New Roman" w:hAnsi="Arial" w:cs="Arial"/>
          <w:kern w:val="0"/>
          <w:sz w:val="20"/>
          <w:szCs w:val="20"/>
          <w:lang w:eastAsia="en-GB"/>
          <w14:ligatures w14:val="none"/>
        </w:rPr>
        <w:tab/>
      </w:r>
      <w:r w:rsidRPr="00AC66AC">
        <w:rPr>
          <w:rFonts w:ascii="Arial" w:eastAsia="Times New Roman" w:hAnsi="Arial" w:cs="Arial"/>
          <w:kern w:val="0"/>
          <w:sz w:val="20"/>
          <w:szCs w:val="20"/>
          <w:lang w:eastAsia="en-GB"/>
          <w14:ligatures w14:val="none"/>
        </w:rPr>
        <w:t>Sciences</w:t>
      </w:r>
    </w:p>
    <w:p w14:paraId="34A2CBCE" w14:textId="77777777" w:rsidR="00AC66AC" w:rsidRPr="00062B53" w:rsidRDefault="00AC66AC" w:rsidP="00847404">
      <w:pPr>
        <w:spacing w:after="0" w:line="240" w:lineRule="auto"/>
        <w:jc w:val="both"/>
        <w:rPr>
          <w:rFonts w:ascii="Arial" w:eastAsia="Times New Roman" w:hAnsi="Arial" w:cs="Arial"/>
          <w:kern w:val="0"/>
          <w:sz w:val="20"/>
          <w:szCs w:val="20"/>
          <w:lang w:eastAsia="en-GB"/>
          <w14:ligatures w14:val="none"/>
        </w:rPr>
      </w:pPr>
    </w:p>
    <w:p w14:paraId="53F047AC" w14:textId="77777777"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Declarations</w:t>
      </w:r>
    </w:p>
    <w:p w14:paraId="43FA80C1" w14:textId="672CE258" w:rsidR="00B77644" w:rsidRPr="00AC66AC"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C66AC">
        <w:rPr>
          <w:rFonts w:ascii="Arial" w:eastAsia="Times New Roman" w:hAnsi="Arial" w:cs="Arial"/>
          <w:i/>
          <w:iCs/>
          <w:color w:val="0F1115"/>
          <w:kern w:val="0"/>
          <w:sz w:val="20"/>
          <w:szCs w:val="20"/>
          <w:lang w:eastAsia="en-GB"/>
          <w14:ligatures w14:val="none"/>
        </w:rPr>
        <w:t>Ethics Approval and Consent to Participate</w:t>
      </w:r>
    </w:p>
    <w:p w14:paraId="7C2A3BD5" w14:textId="5D3E3BC1"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The study was approved by the Research Ethics Committee of the College of Science, University of </w:t>
      </w:r>
      <w:proofErr w:type="spellStart"/>
      <w:r w:rsidRPr="00062B53">
        <w:rPr>
          <w:rFonts w:ascii="Arial" w:eastAsia="Times New Roman" w:hAnsi="Arial" w:cs="Arial"/>
          <w:color w:val="0F1115"/>
          <w:kern w:val="0"/>
          <w:sz w:val="20"/>
          <w:szCs w:val="20"/>
          <w:lang w:eastAsia="en-GB"/>
          <w14:ligatures w14:val="none"/>
        </w:rPr>
        <w:t>Thi</w:t>
      </w:r>
      <w:r w:rsidRPr="00062B53">
        <w:rPr>
          <w:rFonts w:ascii="Arial" w:eastAsia="Times New Roman" w:hAnsi="Arial" w:cs="Arial"/>
          <w:color w:val="0F1115"/>
          <w:kern w:val="0"/>
          <w:sz w:val="20"/>
          <w:szCs w:val="20"/>
          <w:lang w:eastAsia="en-GB"/>
          <w14:ligatures w14:val="none"/>
        </w:rPr>
        <w:noBreakHyphen/>
        <w:t>Qar</w:t>
      </w:r>
      <w:proofErr w:type="spellEnd"/>
      <w:r w:rsidRPr="00062B53">
        <w:rPr>
          <w:rFonts w:ascii="Arial" w:eastAsia="Times New Roman" w:hAnsi="Arial" w:cs="Arial"/>
          <w:color w:val="0F1115"/>
          <w:kern w:val="0"/>
          <w:sz w:val="20"/>
          <w:szCs w:val="20"/>
          <w:lang w:eastAsia="en-GB"/>
          <w14:ligatures w14:val="none"/>
        </w:rPr>
        <w:t xml:space="preserve"> (Approval No. UTQ/CS/2025/042). All procedures were conducted in accordance with the </w:t>
      </w:r>
      <w:r w:rsidR="005737A0">
        <w:rPr>
          <w:rFonts w:ascii="Arial" w:eastAsia="Times New Roman" w:hAnsi="Arial" w:cs="Arial"/>
          <w:color w:val="0F1115"/>
          <w:kern w:val="0"/>
          <w:sz w:val="20"/>
          <w:szCs w:val="20"/>
          <w:lang w:eastAsia="en-GB"/>
          <w14:ligatures w14:val="none"/>
        </w:rPr>
        <w:t>Declaration of Helsinki</w:t>
      </w:r>
      <w:r w:rsidRPr="00062B53">
        <w:rPr>
          <w:rFonts w:ascii="Arial" w:eastAsia="Times New Roman" w:hAnsi="Arial" w:cs="Arial"/>
          <w:color w:val="0F1115"/>
          <w:kern w:val="0"/>
          <w:sz w:val="20"/>
          <w:szCs w:val="20"/>
          <w:lang w:eastAsia="en-GB"/>
          <w14:ligatures w14:val="none"/>
        </w:rPr>
        <w:t xml:space="preserve"> of 1975, as revised in 2013. Written informed consent was obtained from the parents or legal guardians of all participating children. Assent was obtained from children aged 7 years and older</w:t>
      </w:r>
      <w:r w:rsidR="00AC66AC">
        <w:rPr>
          <w:rFonts w:ascii="Arial" w:eastAsia="Times New Roman" w:hAnsi="Arial" w:cs="Arial"/>
          <w:color w:val="0F1115"/>
          <w:kern w:val="0"/>
          <w:sz w:val="20"/>
          <w:szCs w:val="20"/>
          <w:lang w:eastAsia="en-GB"/>
          <w14:ligatures w14:val="none"/>
        </w:rPr>
        <w:t>,</w:t>
      </w:r>
      <w:r w:rsidRPr="00062B53">
        <w:rPr>
          <w:rFonts w:ascii="Arial" w:eastAsia="Times New Roman" w:hAnsi="Arial" w:cs="Arial"/>
          <w:color w:val="0F1115"/>
          <w:kern w:val="0"/>
          <w:sz w:val="20"/>
          <w:szCs w:val="20"/>
          <w:lang w:eastAsia="en-GB"/>
          <w14:ligatures w14:val="none"/>
        </w:rPr>
        <w:t xml:space="preserve"> where feasible.</w:t>
      </w:r>
    </w:p>
    <w:p w14:paraId="00370FFF" w14:textId="77777777" w:rsidR="00AC66AC" w:rsidRPr="00062B53" w:rsidRDefault="00AC66AC"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7B4664C5" w14:textId="2B32B183" w:rsidR="00B77644" w:rsidRPr="00AC66AC"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C66AC">
        <w:rPr>
          <w:rFonts w:ascii="Arial" w:eastAsia="Times New Roman" w:hAnsi="Arial" w:cs="Arial"/>
          <w:i/>
          <w:iCs/>
          <w:color w:val="0F1115"/>
          <w:kern w:val="0"/>
          <w:sz w:val="20"/>
          <w:szCs w:val="20"/>
          <w:lang w:eastAsia="en-GB"/>
          <w14:ligatures w14:val="none"/>
        </w:rPr>
        <w:t>Consent for Publication</w:t>
      </w:r>
    </w:p>
    <w:p w14:paraId="5694C649"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All the authors gave consent for the publication of this work under the Creative Commons Attribution Non</w:t>
      </w:r>
      <w:r w:rsidRPr="00062B53">
        <w:rPr>
          <w:rFonts w:ascii="Arial" w:eastAsia="Times New Roman" w:hAnsi="Arial" w:cs="Arial"/>
          <w:color w:val="0F1115"/>
          <w:kern w:val="0"/>
          <w:sz w:val="20"/>
          <w:szCs w:val="20"/>
          <w:lang w:eastAsia="en-GB"/>
          <w14:ligatures w14:val="none"/>
        </w:rPr>
        <w:noBreakHyphen/>
        <w:t>Commercial 4.0 license.</w:t>
      </w:r>
    </w:p>
    <w:p w14:paraId="2C0B13A3" w14:textId="77777777" w:rsidR="00AC66AC" w:rsidRPr="00062B53" w:rsidRDefault="00AC66AC"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2487CDF1" w14:textId="506904E5" w:rsidR="00B77644" w:rsidRPr="00AC66AC"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C66AC">
        <w:rPr>
          <w:rFonts w:ascii="Arial" w:eastAsia="Times New Roman" w:hAnsi="Arial" w:cs="Arial"/>
          <w:i/>
          <w:iCs/>
          <w:color w:val="0F1115"/>
          <w:kern w:val="0"/>
          <w:sz w:val="20"/>
          <w:szCs w:val="20"/>
          <w:lang w:eastAsia="en-GB"/>
          <w14:ligatures w14:val="none"/>
        </w:rPr>
        <w:t>Data Availability</w:t>
      </w:r>
    </w:p>
    <w:p w14:paraId="08F44DDA"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The datasets generated and analysed during the current study are available from the corresponding author on reasonable request.</w:t>
      </w:r>
    </w:p>
    <w:p w14:paraId="236AB707" w14:textId="77777777" w:rsidR="00AC66AC" w:rsidRPr="00062B53" w:rsidRDefault="00AC66AC"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F5B599F" w14:textId="09BB0B77" w:rsidR="00B77644" w:rsidRPr="00AC66AC"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C66AC">
        <w:rPr>
          <w:rFonts w:ascii="Arial" w:eastAsia="Times New Roman" w:hAnsi="Arial" w:cs="Arial"/>
          <w:i/>
          <w:iCs/>
          <w:color w:val="0F1115"/>
          <w:kern w:val="0"/>
          <w:sz w:val="20"/>
          <w:szCs w:val="20"/>
          <w:lang w:eastAsia="en-GB"/>
          <w14:ligatures w14:val="none"/>
        </w:rPr>
        <w:t>Competing Interests</w:t>
      </w:r>
    </w:p>
    <w:p w14:paraId="0E89EFCC"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The authors declare that they have no competing interests.</w:t>
      </w:r>
    </w:p>
    <w:p w14:paraId="6CC623CB" w14:textId="77777777" w:rsidR="00AC66AC" w:rsidRPr="00062B53" w:rsidRDefault="00AC66AC"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5CC12014" w14:textId="3AC35A47" w:rsidR="00B77644" w:rsidRPr="00AC66AC"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C66AC">
        <w:rPr>
          <w:rFonts w:ascii="Arial" w:eastAsia="Times New Roman" w:hAnsi="Arial" w:cs="Arial"/>
          <w:i/>
          <w:iCs/>
          <w:color w:val="0F1115"/>
          <w:kern w:val="0"/>
          <w:sz w:val="20"/>
          <w:szCs w:val="20"/>
          <w:lang w:eastAsia="en-GB"/>
          <w14:ligatures w14:val="none"/>
        </w:rPr>
        <w:t>Fundin</w:t>
      </w:r>
      <w:r w:rsidR="001814FA">
        <w:rPr>
          <w:rFonts w:ascii="Arial" w:eastAsia="Times New Roman" w:hAnsi="Arial" w:cs="Arial"/>
          <w:i/>
          <w:iCs/>
          <w:color w:val="0F1115"/>
          <w:kern w:val="0"/>
          <w:sz w:val="20"/>
          <w:szCs w:val="20"/>
          <w:lang w:eastAsia="en-GB"/>
          <w14:ligatures w14:val="none"/>
        </w:rPr>
        <w:t>g</w:t>
      </w:r>
    </w:p>
    <w:p w14:paraId="77F8773A" w14:textId="77777777" w:rsidR="00B77644"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This research received no specific grant from any funding agency in the public, commercial or not</w:t>
      </w:r>
      <w:r w:rsidRPr="00062B53">
        <w:rPr>
          <w:rFonts w:ascii="Arial" w:eastAsia="Times New Roman" w:hAnsi="Arial" w:cs="Arial"/>
          <w:color w:val="0F1115"/>
          <w:kern w:val="0"/>
          <w:sz w:val="20"/>
          <w:szCs w:val="20"/>
          <w:lang w:eastAsia="en-GB"/>
          <w14:ligatures w14:val="none"/>
        </w:rPr>
        <w:noBreakHyphen/>
        <w:t>for</w:t>
      </w:r>
      <w:r w:rsidRPr="00062B53">
        <w:rPr>
          <w:rFonts w:ascii="Arial" w:eastAsia="Times New Roman" w:hAnsi="Arial" w:cs="Arial"/>
          <w:color w:val="0F1115"/>
          <w:kern w:val="0"/>
          <w:sz w:val="20"/>
          <w:szCs w:val="20"/>
          <w:lang w:eastAsia="en-GB"/>
          <w14:ligatures w14:val="none"/>
        </w:rPr>
        <w:noBreakHyphen/>
        <w:t>profit sectors.</w:t>
      </w:r>
    </w:p>
    <w:p w14:paraId="0008901F" w14:textId="77777777" w:rsidR="00AC66AC" w:rsidRPr="00062B53" w:rsidRDefault="00AC66AC"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p>
    <w:p w14:paraId="1202F5B7" w14:textId="7C655DE7" w:rsidR="00B77644" w:rsidRPr="00AC66AC"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C66AC">
        <w:rPr>
          <w:rFonts w:ascii="Arial" w:eastAsia="Times New Roman" w:hAnsi="Arial" w:cs="Arial"/>
          <w:i/>
          <w:iCs/>
          <w:color w:val="0F1115"/>
          <w:kern w:val="0"/>
          <w:sz w:val="20"/>
          <w:szCs w:val="20"/>
          <w:lang w:eastAsia="en-GB"/>
          <w14:ligatures w14:val="none"/>
        </w:rPr>
        <w:t>Author Contributions</w:t>
      </w:r>
    </w:p>
    <w:p w14:paraId="16993AE2" w14:textId="1BCFC00F" w:rsidR="00B77644" w:rsidRPr="00AC66AC" w:rsidRDefault="00AC66AC" w:rsidP="00AC66AC">
      <w:pPr>
        <w:shd w:val="clear" w:color="auto" w:fill="FFFFFF"/>
        <w:spacing w:after="0" w:line="240" w:lineRule="auto"/>
        <w:jc w:val="both"/>
        <w:rPr>
          <w:rFonts w:ascii="Arial" w:eastAsia="Times New Roman" w:hAnsi="Arial" w:cs="Arial"/>
          <w:iCs/>
          <w:color w:val="0F1115"/>
          <w:kern w:val="0"/>
          <w:sz w:val="20"/>
          <w:szCs w:val="20"/>
          <w:lang w:eastAsia="en-GB"/>
          <w14:ligatures w14:val="none"/>
        </w:rPr>
      </w:pPr>
      <w:r w:rsidRPr="00AC66AC">
        <w:rPr>
          <w:rFonts w:ascii="Arial" w:eastAsia="Times New Roman" w:hAnsi="Arial" w:cs="Arial"/>
          <w:iCs/>
          <w:color w:val="0F1115"/>
          <w:kern w:val="0"/>
          <w:sz w:val="20"/>
          <w:szCs w:val="20"/>
          <w:lang w:eastAsia="en-GB"/>
          <w14:ligatures w14:val="none"/>
        </w:rPr>
        <w:t>IHSI</w:t>
      </w:r>
      <w:r w:rsidR="001814FA">
        <w:rPr>
          <w:rFonts w:ascii="Arial" w:eastAsia="Times New Roman" w:hAnsi="Arial" w:cs="Arial"/>
          <w:iCs/>
          <w:color w:val="0F1115"/>
          <w:kern w:val="0"/>
          <w:sz w:val="20"/>
          <w:szCs w:val="20"/>
          <w:lang w:eastAsia="en-GB"/>
          <w14:ligatures w14:val="none"/>
        </w:rPr>
        <w:t xml:space="preserve"> worked on the</w:t>
      </w:r>
      <w:r w:rsidR="00B77644" w:rsidRPr="00AC66AC">
        <w:rPr>
          <w:rFonts w:ascii="Arial" w:eastAsia="Times New Roman" w:hAnsi="Arial" w:cs="Arial"/>
          <w:iCs/>
          <w:color w:val="0F1115"/>
          <w:kern w:val="0"/>
          <w:sz w:val="20"/>
          <w:szCs w:val="20"/>
          <w:lang w:eastAsia="en-GB"/>
          <w14:ligatures w14:val="none"/>
        </w:rPr>
        <w:t> </w:t>
      </w:r>
      <w:r w:rsidR="001814FA">
        <w:rPr>
          <w:rFonts w:ascii="Arial" w:eastAsia="Times New Roman" w:hAnsi="Arial" w:cs="Arial"/>
          <w:iCs/>
          <w:color w:val="0F1115"/>
          <w:kern w:val="0"/>
          <w:sz w:val="20"/>
          <w:szCs w:val="20"/>
          <w:lang w:eastAsia="en-GB"/>
          <w14:ligatures w14:val="none"/>
        </w:rPr>
        <w:t>c</w:t>
      </w:r>
      <w:r w:rsidR="00B77644" w:rsidRPr="00AC66AC">
        <w:rPr>
          <w:rFonts w:ascii="Arial" w:eastAsia="Times New Roman" w:hAnsi="Arial" w:cs="Arial"/>
          <w:iCs/>
          <w:color w:val="0F1115"/>
          <w:kern w:val="0"/>
          <w:sz w:val="20"/>
          <w:szCs w:val="20"/>
          <w:lang w:eastAsia="en-GB"/>
          <w14:ligatures w14:val="none"/>
        </w:rPr>
        <w:t>onceptualisation, investigation, data curation, formal analysis</w:t>
      </w:r>
      <w:r w:rsidR="001814FA">
        <w:rPr>
          <w:rFonts w:ascii="Arial" w:eastAsia="Times New Roman" w:hAnsi="Arial" w:cs="Arial"/>
          <w:iCs/>
          <w:color w:val="0F1115"/>
          <w:kern w:val="0"/>
          <w:sz w:val="20"/>
          <w:szCs w:val="20"/>
          <w:lang w:eastAsia="en-GB"/>
          <w14:ligatures w14:val="none"/>
        </w:rPr>
        <w:t xml:space="preserve"> and </w:t>
      </w:r>
      <w:r w:rsidR="00B77644" w:rsidRPr="00AC66AC">
        <w:rPr>
          <w:rFonts w:ascii="Arial" w:eastAsia="Times New Roman" w:hAnsi="Arial" w:cs="Arial"/>
          <w:iCs/>
          <w:color w:val="0F1115"/>
          <w:kern w:val="0"/>
          <w:sz w:val="20"/>
          <w:szCs w:val="20"/>
          <w:lang w:eastAsia="en-GB"/>
          <w14:ligatures w14:val="none"/>
        </w:rPr>
        <w:t xml:space="preserve">writing </w:t>
      </w:r>
      <w:r w:rsidR="001814FA">
        <w:rPr>
          <w:rFonts w:ascii="Arial" w:eastAsia="Times New Roman" w:hAnsi="Arial" w:cs="Arial"/>
          <w:iCs/>
          <w:color w:val="0F1115"/>
          <w:kern w:val="0"/>
          <w:sz w:val="20"/>
          <w:szCs w:val="20"/>
          <w:lang w:eastAsia="en-GB"/>
          <w14:ligatures w14:val="none"/>
        </w:rPr>
        <w:t xml:space="preserve">of the </w:t>
      </w:r>
      <w:r w:rsidR="00B77644" w:rsidRPr="00AC66AC">
        <w:rPr>
          <w:rFonts w:ascii="Arial" w:eastAsia="Times New Roman" w:hAnsi="Arial" w:cs="Arial"/>
          <w:iCs/>
          <w:color w:val="0F1115"/>
          <w:kern w:val="0"/>
          <w:sz w:val="20"/>
          <w:szCs w:val="20"/>
          <w:lang w:eastAsia="en-GB"/>
          <w14:ligatures w14:val="none"/>
        </w:rPr>
        <w:t>original draft.</w:t>
      </w:r>
    </w:p>
    <w:p w14:paraId="0F74BBEF" w14:textId="0B853D71" w:rsidR="00B77644" w:rsidRDefault="00AC66AC" w:rsidP="00AC66AC">
      <w:pPr>
        <w:shd w:val="clear" w:color="auto" w:fill="FFFFFF"/>
        <w:spacing w:after="0" w:line="240" w:lineRule="auto"/>
        <w:jc w:val="both"/>
        <w:rPr>
          <w:rFonts w:ascii="Arial" w:eastAsia="Times New Roman" w:hAnsi="Arial" w:cs="Arial"/>
          <w:iCs/>
          <w:color w:val="0F1115"/>
          <w:kern w:val="0"/>
          <w:sz w:val="20"/>
          <w:szCs w:val="20"/>
          <w:lang w:eastAsia="en-GB"/>
          <w14:ligatures w14:val="none"/>
        </w:rPr>
      </w:pPr>
      <w:r w:rsidRPr="00AC66AC">
        <w:rPr>
          <w:rFonts w:ascii="Arial" w:eastAsia="Times New Roman" w:hAnsi="Arial" w:cs="Arial"/>
          <w:iCs/>
          <w:color w:val="0F1115"/>
          <w:kern w:val="0"/>
          <w:sz w:val="20"/>
          <w:szCs w:val="20"/>
          <w:lang w:eastAsia="en-GB"/>
          <w14:ligatures w14:val="none"/>
        </w:rPr>
        <w:t>ABR</w:t>
      </w:r>
      <w:r w:rsidR="001814FA">
        <w:rPr>
          <w:rFonts w:ascii="Arial" w:eastAsia="Times New Roman" w:hAnsi="Arial" w:cs="Arial"/>
          <w:iCs/>
          <w:color w:val="0F1115"/>
          <w:kern w:val="0"/>
          <w:sz w:val="20"/>
          <w:szCs w:val="20"/>
          <w:lang w:eastAsia="en-GB"/>
          <w14:ligatures w14:val="none"/>
        </w:rPr>
        <w:t xml:space="preserve"> worked on the m</w:t>
      </w:r>
      <w:r w:rsidR="00B77644" w:rsidRPr="00AC66AC">
        <w:rPr>
          <w:rFonts w:ascii="Arial" w:eastAsia="Times New Roman" w:hAnsi="Arial" w:cs="Arial"/>
          <w:iCs/>
          <w:color w:val="0F1115"/>
          <w:kern w:val="0"/>
          <w:sz w:val="20"/>
          <w:szCs w:val="20"/>
          <w:lang w:eastAsia="en-GB"/>
          <w14:ligatures w14:val="none"/>
        </w:rPr>
        <w:t>ethodology, validation, supervision, writing</w:t>
      </w:r>
      <w:r>
        <w:rPr>
          <w:rFonts w:ascii="Arial" w:eastAsia="Times New Roman" w:hAnsi="Arial" w:cs="Arial"/>
          <w:iCs/>
          <w:color w:val="0F1115"/>
          <w:kern w:val="0"/>
          <w:sz w:val="20"/>
          <w:szCs w:val="20"/>
          <w:lang w:eastAsia="en-GB"/>
          <w14:ligatures w14:val="none"/>
        </w:rPr>
        <w:t>,</w:t>
      </w:r>
      <w:r w:rsidR="00B77644" w:rsidRPr="00AC66AC">
        <w:rPr>
          <w:rFonts w:ascii="Arial" w:eastAsia="Times New Roman" w:hAnsi="Arial" w:cs="Arial"/>
          <w:iCs/>
          <w:color w:val="0F1115"/>
          <w:kern w:val="0"/>
          <w:sz w:val="20"/>
          <w:szCs w:val="20"/>
          <w:lang w:eastAsia="en-GB"/>
          <w14:ligatures w14:val="none"/>
        </w:rPr>
        <w:t xml:space="preserve"> review and editing</w:t>
      </w:r>
      <w:r>
        <w:rPr>
          <w:rFonts w:ascii="Arial" w:eastAsia="Times New Roman" w:hAnsi="Arial" w:cs="Arial"/>
          <w:iCs/>
          <w:color w:val="0F1115"/>
          <w:kern w:val="0"/>
          <w:sz w:val="20"/>
          <w:szCs w:val="20"/>
          <w:lang w:eastAsia="en-GB"/>
          <w14:ligatures w14:val="none"/>
        </w:rPr>
        <w:t>.</w:t>
      </w:r>
    </w:p>
    <w:p w14:paraId="67EA22E6" w14:textId="77777777" w:rsidR="00AC66AC" w:rsidRPr="00AC66AC" w:rsidRDefault="00AC66AC" w:rsidP="001814FA">
      <w:pPr>
        <w:shd w:val="clear" w:color="auto" w:fill="FFFFFF"/>
        <w:spacing w:after="0" w:line="240" w:lineRule="auto"/>
        <w:jc w:val="both"/>
        <w:rPr>
          <w:rFonts w:ascii="Arial" w:eastAsia="Times New Roman" w:hAnsi="Arial" w:cs="Arial"/>
          <w:iCs/>
          <w:color w:val="0F1115"/>
          <w:kern w:val="0"/>
          <w:sz w:val="20"/>
          <w:szCs w:val="20"/>
          <w:lang w:eastAsia="en-GB"/>
          <w14:ligatures w14:val="none"/>
        </w:rPr>
      </w:pPr>
    </w:p>
    <w:p w14:paraId="0C5A6C69" w14:textId="3D32725C" w:rsidR="00B77644" w:rsidRPr="00AC66AC" w:rsidRDefault="00B77644" w:rsidP="00847404">
      <w:pPr>
        <w:shd w:val="clear" w:color="auto" w:fill="FFFFFF"/>
        <w:spacing w:after="0" w:line="240" w:lineRule="auto"/>
        <w:jc w:val="both"/>
        <w:rPr>
          <w:rFonts w:ascii="Arial" w:eastAsia="Times New Roman" w:hAnsi="Arial" w:cs="Arial"/>
          <w:i/>
          <w:iCs/>
          <w:color w:val="0F1115"/>
          <w:kern w:val="0"/>
          <w:sz w:val="20"/>
          <w:szCs w:val="20"/>
          <w:lang w:eastAsia="en-GB"/>
          <w14:ligatures w14:val="none"/>
        </w:rPr>
      </w:pPr>
      <w:r w:rsidRPr="00AC66AC">
        <w:rPr>
          <w:rFonts w:ascii="Arial" w:eastAsia="Times New Roman" w:hAnsi="Arial" w:cs="Arial"/>
          <w:i/>
          <w:iCs/>
          <w:color w:val="0F1115"/>
          <w:kern w:val="0"/>
          <w:sz w:val="20"/>
          <w:szCs w:val="20"/>
          <w:lang w:eastAsia="en-GB"/>
          <w14:ligatures w14:val="none"/>
        </w:rPr>
        <w:t>Acknowledgements</w:t>
      </w:r>
    </w:p>
    <w:p w14:paraId="03FDAE8C" w14:textId="3E723DCC" w:rsidR="00B77644" w:rsidRPr="00062B53" w:rsidRDefault="00B77644" w:rsidP="00847404">
      <w:pPr>
        <w:shd w:val="clear" w:color="auto" w:fill="FFFFFF"/>
        <w:spacing w:after="0" w:line="240" w:lineRule="auto"/>
        <w:jc w:val="both"/>
        <w:rPr>
          <w:rFonts w:ascii="Arial" w:eastAsia="Times New Roman" w:hAnsi="Arial" w:cs="Arial"/>
          <w:color w:val="0F1115"/>
          <w:kern w:val="0"/>
          <w:sz w:val="20"/>
          <w:szCs w:val="20"/>
          <w:lang w:eastAsia="en-GB"/>
          <w14:ligatures w14:val="none"/>
        </w:rPr>
      </w:pPr>
      <w:r w:rsidRPr="00062B53">
        <w:rPr>
          <w:rFonts w:ascii="Arial" w:eastAsia="Times New Roman" w:hAnsi="Arial" w:cs="Arial"/>
          <w:color w:val="0F1115"/>
          <w:kern w:val="0"/>
          <w:sz w:val="20"/>
          <w:szCs w:val="20"/>
          <w:lang w:eastAsia="en-GB"/>
          <w14:ligatures w14:val="none"/>
        </w:rPr>
        <w:t xml:space="preserve">The authors thank the staff of the QAR Autism Rehabilitation Centre and </w:t>
      </w:r>
      <w:proofErr w:type="spellStart"/>
      <w:r w:rsidRPr="00062B53">
        <w:rPr>
          <w:rFonts w:ascii="Arial" w:eastAsia="Times New Roman" w:hAnsi="Arial" w:cs="Arial"/>
          <w:color w:val="0F1115"/>
          <w:kern w:val="0"/>
          <w:sz w:val="20"/>
          <w:szCs w:val="20"/>
          <w:lang w:eastAsia="en-GB"/>
          <w14:ligatures w14:val="none"/>
        </w:rPr>
        <w:t>Alshatra</w:t>
      </w:r>
      <w:proofErr w:type="spellEnd"/>
      <w:r w:rsidRPr="00062B53">
        <w:rPr>
          <w:rFonts w:ascii="Arial" w:eastAsia="Times New Roman" w:hAnsi="Arial" w:cs="Arial"/>
          <w:color w:val="0F1115"/>
          <w:kern w:val="0"/>
          <w:sz w:val="20"/>
          <w:szCs w:val="20"/>
          <w:lang w:eastAsia="en-GB"/>
          <w14:ligatures w14:val="none"/>
        </w:rPr>
        <w:t xml:space="preserve"> General Hospital for their invaluable assistance with </w:t>
      </w:r>
      <w:r w:rsidRPr="00062B53">
        <w:rPr>
          <w:rFonts w:ascii="Arial" w:eastAsia="Times New Roman" w:hAnsi="Arial" w:cs="Arial"/>
          <w:color w:val="0F1115"/>
          <w:kern w:val="0"/>
          <w:sz w:val="20"/>
          <w:szCs w:val="20"/>
          <w:lang w:eastAsia="en-GB"/>
          <w14:ligatures w14:val="none"/>
        </w:rPr>
        <w:lastRenderedPageBreak/>
        <w:t>participant recruitment and clinical assessments. Special thanks to the children and families who participated in this study. We also acknowledge the laboratory staff of the College of Science</w:t>
      </w:r>
      <w:r w:rsidR="00EF4E3D">
        <w:rPr>
          <w:rFonts w:ascii="Arial" w:eastAsia="Times New Roman" w:hAnsi="Arial" w:cs="Arial"/>
          <w:color w:val="0F1115"/>
          <w:kern w:val="0"/>
          <w:sz w:val="20"/>
          <w:szCs w:val="20"/>
          <w:lang w:eastAsia="en-GB"/>
          <w14:ligatures w14:val="none"/>
        </w:rPr>
        <w:t xml:space="preserve"> at the University of </w:t>
      </w:r>
      <w:proofErr w:type="spellStart"/>
      <w:r w:rsidR="00EF4E3D">
        <w:rPr>
          <w:rFonts w:ascii="Arial" w:eastAsia="Times New Roman" w:hAnsi="Arial" w:cs="Arial"/>
          <w:color w:val="0F1115"/>
          <w:kern w:val="0"/>
          <w:sz w:val="20"/>
          <w:szCs w:val="20"/>
          <w:lang w:eastAsia="en-GB"/>
          <w14:ligatures w14:val="none"/>
        </w:rPr>
        <w:t>Thi</w:t>
      </w:r>
      <w:r w:rsidR="00EF4E3D">
        <w:rPr>
          <w:rFonts w:ascii="Arial" w:eastAsia="Times New Roman" w:hAnsi="Arial" w:cs="Arial"/>
          <w:color w:val="0F1115"/>
          <w:kern w:val="0"/>
          <w:sz w:val="20"/>
          <w:szCs w:val="20"/>
          <w:lang w:eastAsia="en-GB"/>
          <w14:ligatures w14:val="none"/>
        </w:rPr>
        <w:noBreakHyphen/>
        <w:t>Qar</w:t>
      </w:r>
      <w:proofErr w:type="spellEnd"/>
      <w:r w:rsidRPr="00062B53">
        <w:rPr>
          <w:rFonts w:ascii="Arial" w:eastAsia="Times New Roman" w:hAnsi="Arial" w:cs="Arial"/>
          <w:color w:val="0F1115"/>
          <w:kern w:val="0"/>
          <w:sz w:val="20"/>
          <w:szCs w:val="20"/>
          <w:lang w:eastAsia="en-GB"/>
          <w14:ligatures w14:val="none"/>
        </w:rPr>
        <w:t xml:space="preserve"> for their technical support.</w:t>
      </w:r>
    </w:p>
    <w:p w14:paraId="361DDF64" w14:textId="535A1115" w:rsidR="00B77644" w:rsidRPr="00062B53" w:rsidRDefault="00B77644" w:rsidP="00847404">
      <w:pPr>
        <w:spacing w:after="0" w:line="240" w:lineRule="auto"/>
        <w:jc w:val="both"/>
        <w:rPr>
          <w:rFonts w:ascii="Arial" w:eastAsia="Times New Roman" w:hAnsi="Arial" w:cs="Arial"/>
          <w:kern w:val="0"/>
          <w:sz w:val="20"/>
          <w:szCs w:val="20"/>
          <w:lang w:eastAsia="en-GB"/>
          <w14:ligatures w14:val="none"/>
        </w:rPr>
      </w:pPr>
    </w:p>
    <w:p w14:paraId="330FD173" w14:textId="60D73818" w:rsidR="00B77644" w:rsidRPr="00062B53" w:rsidRDefault="00B77644" w:rsidP="00847404">
      <w:pPr>
        <w:shd w:val="clear" w:color="auto" w:fill="FFFFFF"/>
        <w:spacing w:after="0" w:line="240" w:lineRule="auto"/>
        <w:jc w:val="both"/>
        <w:rPr>
          <w:rFonts w:ascii="Arial" w:eastAsia="Times New Roman" w:hAnsi="Arial" w:cs="Arial"/>
          <w:b/>
          <w:bCs/>
          <w:color w:val="0F1115"/>
          <w:kern w:val="0"/>
          <w:sz w:val="20"/>
          <w:szCs w:val="20"/>
          <w:lang w:eastAsia="en-GB"/>
          <w14:ligatures w14:val="none"/>
        </w:rPr>
      </w:pPr>
      <w:r w:rsidRPr="00062B53">
        <w:rPr>
          <w:rFonts w:ascii="Arial" w:eastAsia="Times New Roman" w:hAnsi="Arial" w:cs="Arial"/>
          <w:b/>
          <w:bCs/>
          <w:color w:val="0F1115"/>
          <w:kern w:val="0"/>
          <w:sz w:val="20"/>
          <w:szCs w:val="20"/>
          <w:lang w:eastAsia="en-GB"/>
          <w14:ligatures w14:val="none"/>
        </w:rPr>
        <w:t>References</w:t>
      </w:r>
    </w:p>
    <w:p w14:paraId="30E1A5ED" w14:textId="31900A01"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5" w:name="_Ref229650224"/>
      <w:proofErr w:type="spellStart"/>
      <w:r w:rsidRPr="00854310">
        <w:rPr>
          <w:rFonts w:ascii="Arial" w:eastAsia="Times New Roman" w:hAnsi="Arial" w:cs="Arial"/>
          <w:color w:val="0F1115"/>
          <w:kern w:val="0"/>
          <w:sz w:val="20"/>
          <w:szCs w:val="20"/>
          <w:lang w:eastAsia="en-GB"/>
          <w14:ligatures w14:val="none"/>
        </w:rPr>
        <w:t>Taslem</w:t>
      </w:r>
      <w:proofErr w:type="spellEnd"/>
      <w:r w:rsidRPr="00854310">
        <w:rPr>
          <w:rFonts w:ascii="Arial" w:eastAsia="Times New Roman" w:hAnsi="Arial" w:cs="Arial"/>
          <w:color w:val="0F1115"/>
          <w:kern w:val="0"/>
          <w:sz w:val="20"/>
          <w:szCs w:val="20"/>
          <w:lang w:eastAsia="en-GB"/>
          <w14:ligatures w14:val="none"/>
        </w:rPr>
        <w:t xml:space="preserve"> </w:t>
      </w:r>
      <w:proofErr w:type="spellStart"/>
      <w:r w:rsidRPr="00854310">
        <w:rPr>
          <w:rFonts w:ascii="Arial" w:eastAsia="Times New Roman" w:hAnsi="Arial" w:cs="Arial"/>
          <w:color w:val="0F1115"/>
          <w:kern w:val="0"/>
          <w:sz w:val="20"/>
          <w:szCs w:val="20"/>
          <w:lang w:eastAsia="en-GB"/>
          <w14:ligatures w14:val="none"/>
        </w:rPr>
        <w:t>Mourosi</w:t>
      </w:r>
      <w:proofErr w:type="spellEnd"/>
      <w:r w:rsidRPr="00854310">
        <w:rPr>
          <w:rFonts w:ascii="Arial" w:eastAsia="Times New Roman" w:hAnsi="Arial" w:cs="Arial"/>
          <w:color w:val="0F1115"/>
          <w:kern w:val="0"/>
          <w:sz w:val="20"/>
          <w:szCs w:val="20"/>
          <w:lang w:eastAsia="en-GB"/>
          <w14:ligatures w14:val="none"/>
        </w:rPr>
        <w:t xml:space="preserve"> J, Anwar S, Islam MT, </w:t>
      </w:r>
      <w:proofErr w:type="spellStart"/>
      <w:r w:rsidRPr="00854310">
        <w:rPr>
          <w:rFonts w:ascii="Arial" w:eastAsia="Times New Roman" w:hAnsi="Arial" w:cs="Arial"/>
          <w:color w:val="0F1115"/>
          <w:kern w:val="0"/>
          <w:sz w:val="20"/>
          <w:szCs w:val="20"/>
          <w:lang w:eastAsia="en-GB"/>
          <w14:ligatures w14:val="none"/>
        </w:rPr>
        <w:t>Vanakker</w:t>
      </w:r>
      <w:proofErr w:type="spellEnd"/>
      <w:r w:rsidRPr="00854310">
        <w:rPr>
          <w:rFonts w:ascii="Arial" w:eastAsia="Times New Roman" w:hAnsi="Arial" w:cs="Arial"/>
          <w:color w:val="0F1115"/>
          <w:kern w:val="0"/>
          <w:sz w:val="20"/>
          <w:szCs w:val="20"/>
          <w:lang w:eastAsia="en-GB"/>
          <w14:ligatures w14:val="none"/>
        </w:rPr>
        <w:t xml:space="preserve"> OM, Hosen MJ. Prenatal, perinatal, and environmental risk factors contribute to the high prevalence of autism spectrum disorder in northeastern Bangladesh. International Journal of Developmental Disabilities. 2025 Jan 12:1-4.</w:t>
      </w:r>
      <w:r w:rsidR="004B6BD5">
        <w:rPr>
          <w:rFonts w:ascii="Arial" w:eastAsia="Times New Roman" w:hAnsi="Arial" w:cs="Arial"/>
          <w:color w:val="0F1115"/>
          <w:kern w:val="0"/>
          <w:sz w:val="20"/>
          <w:szCs w:val="20"/>
          <w:lang w:eastAsia="en-GB"/>
          <w14:ligatures w14:val="none"/>
        </w:rPr>
        <w:t xml:space="preserve"> </w:t>
      </w:r>
      <w:hyperlink r:id="rId13" w:history="1">
        <w:r w:rsidR="004B6BD5" w:rsidRPr="004D2B1C">
          <w:rPr>
            <w:rStyle w:val="Hyperlink"/>
            <w:rFonts w:ascii="Arial" w:eastAsia="Times New Roman" w:hAnsi="Arial" w:cs="Arial"/>
            <w:color w:val="0000FF"/>
            <w:kern w:val="0"/>
            <w:sz w:val="20"/>
            <w:szCs w:val="20"/>
            <w:lang w:eastAsia="en-GB"/>
            <w14:ligatures w14:val="none"/>
          </w:rPr>
          <w:t>https://doi.org/10.1080/20473869.2025.2452858</w:t>
        </w:r>
      </w:hyperlink>
      <w:bookmarkEnd w:id="5"/>
      <w:r w:rsidR="004B6BD5" w:rsidRPr="004D2B1C">
        <w:rPr>
          <w:rFonts w:ascii="Arial" w:eastAsia="Times New Roman" w:hAnsi="Arial" w:cs="Arial"/>
          <w:color w:val="0000FF"/>
          <w:kern w:val="0"/>
          <w:sz w:val="20"/>
          <w:szCs w:val="20"/>
          <w:lang w:eastAsia="en-GB"/>
          <w14:ligatures w14:val="none"/>
        </w:rPr>
        <w:t xml:space="preserve"> </w:t>
      </w:r>
    </w:p>
    <w:p w14:paraId="154699F3" w14:textId="152AFC87"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6" w:name="_Ref229650231"/>
      <w:r w:rsidRPr="00854310">
        <w:rPr>
          <w:rFonts w:ascii="Arial" w:eastAsia="Times New Roman" w:hAnsi="Arial" w:cs="Arial"/>
          <w:color w:val="0F1115"/>
          <w:kern w:val="0"/>
          <w:sz w:val="20"/>
          <w:szCs w:val="20"/>
          <w:lang w:eastAsia="en-GB"/>
          <w14:ligatures w14:val="none"/>
        </w:rPr>
        <w:t xml:space="preserve">Hyman SL, Levy SE, Myers SM, Council on Children with Disabilities, Section on Developmental and </w:t>
      </w:r>
      <w:proofErr w:type="spellStart"/>
      <w:r w:rsidRPr="00854310">
        <w:rPr>
          <w:rFonts w:ascii="Arial" w:eastAsia="Times New Roman" w:hAnsi="Arial" w:cs="Arial"/>
          <w:color w:val="0F1115"/>
          <w:kern w:val="0"/>
          <w:sz w:val="20"/>
          <w:szCs w:val="20"/>
          <w:lang w:eastAsia="en-GB"/>
          <w14:ligatures w14:val="none"/>
        </w:rPr>
        <w:t>Behavioral</w:t>
      </w:r>
      <w:proofErr w:type="spellEnd"/>
      <w:r w:rsidRPr="00854310">
        <w:rPr>
          <w:rFonts w:ascii="Arial" w:eastAsia="Times New Roman" w:hAnsi="Arial" w:cs="Arial"/>
          <w:color w:val="0F1115"/>
          <w:kern w:val="0"/>
          <w:sz w:val="20"/>
          <w:szCs w:val="20"/>
          <w:lang w:eastAsia="en-GB"/>
          <w14:ligatures w14:val="none"/>
        </w:rPr>
        <w:t xml:space="preserve"> </w:t>
      </w:r>
      <w:proofErr w:type="spellStart"/>
      <w:r w:rsidRPr="00854310">
        <w:rPr>
          <w:rFonts w:ascii="Arial" w:eastAsia="Times New Roman" w:hAnsi="Arial" w:cs="Arial"/>
          <w:color w:val="0F1115"/>
          <w:kern w:val="0"/>
          <w:sz w:val="20"/>
          <w:szCs w:val="20"/>
          <w:lang w:eastAsia="en-GB"/>
          <w14:ligatures w14:val="none"/>
        </w:rPr>
        <w:t>Pediatrics</w:t>
      </w:r>
      <w:proofErr w:type="spellEnd"/>
      <w:r w:rsidRPr="00854310">
        <w:rPr>
          <w:rFonts w:ascii="Arial" w:eastAsia="Times New Roman" w:hAnsi="Arial" w:cs="Arial"/>
          <w:color w:val="0F1115"/>
          <w:kern w:val="0"/>
          <w:sz w:val="20"/>
          <w:szCs w:val="20"/>
          <w:lang w:eastAsia="en-GB"/>
          <w14:ligatures w14:val="none"/>
        </w:rPr>
        <w:t xml:space="preserve">, Kuo DZ, </w:t>
      </w:r>
      <w:proofErr w:type="spellStart"/>
      <w:r w:rsidRPr="00854310">
        <w:rPr>
          <w:rFonts w:ascii="Arial" w:eastAsia="Times New Roman" w:hAnsi="Arial" w:cs="Arial"/>
          <w:color w:val="0F1115"/>
          <w:kern w:val="0"/>
          <w:sz w:val="20"/>
          <w:szCs w:val="20"/>
          <w:lang w:eastAsia="en-GB"/>
          <w14:ligatures w14:val="none"/>
        </w:rPr>
        <w:t>Apkon</w:t>
      </w:r>
      <w:proofErr w:type="spellEnd"/>
      <w:r w:rsidRPr="00854310">
        <w:rPr>
          <w:rFonts w:ascii="Arial" w:eastAsia="Times New Roman" w:hAnsi="Arial" w:cs="Arial"/>
          <w:color w:val="0F1115"/>
          <w:kern w:val="0"/>
          <w:sz w:val="20"/>
          <w:szCs w:val="20"/>
          <w:lang w:eastAsia="en-GB"/>
          <w14:ligatures w14:val="none"/>
        </w:rPr>
        <w:t xml:space="preserve"> S, Davidson LF, Ellerbeck KA, Foster JE, Noritz GH, Leppert MO. Identification, evaluation, and management of children with autism spectrum disorder. </w:t>
      </w:r>
      <w:proofErr w:type="spellStart"/>
      <w:r w:rsidRPr="00854310">
        <w:rPr>
          <w:rFonts w:ascii="Arial" w:eastAsia="Times New Roman" w:hAnsi="Arial" w:cs="Arial"/>
          <w:color w:val="0F1115"/>
          <w:kern w:val="0"/>
          <w:sz w:val="20"/>
          <w:szCs w:val="20"/>
          <w:lang w:eastAsia="en-GB"/>
          <w14:ligatures w14:val="none"/>
        </w:rPr>
        <w:t>Pediatrics</w:t>
      </w:r>
      <w:proofErr w:type="spellEnd"/>
      <w:r w:rsidRPr="00854310">
        <w:rPr>
          <w:rFonts w:ascii="Arial" w:eastAsia="Times New Roman" w:hAnsi="Arial" w:cs="Arial"/>
          <w:color w:val="0F1115"/>
          <w:kern w:val="0"/>
          <w:sz w:val="20"/>
          <w:szCs w:val="20"/>
          <w:lang w:eastAsia="en-GB"/>
          <w14:ligatures w14:val="none"/>
        </w:rPr>
        <w:t>. 2020 Jan 1;145(1</w:t>
      </w:r>
      <w:proofErr w:type="gramStart"/>
      <w:r w:rsidRPr="00854310">
        <w:rPr>
          <w:rFonts w:ascii="Arial" w:eastAsia="Times New Roman" w:hAnsi="Arial" w:cs="Arial"/>
          <w:color w:val="0F1115"/>
          <w:kern w:val="0"/>
          <w:sz w:val="20"/>
          <w:szCs w:val="20"/>
          <w:lang w:eastAsia="en-GB"/>
          <w14:ligatures w14:val="none"/>
        </w:rPr>
        <w:t>):e</w:t>
      </w:r>
      <w:proofErr w:type="gramEnd"/>
      <w:r w:rsidRPr="00854310">
        <w:rPr>
          <w:rFonts w:ascii="Arial" w:eastAsia="Times New Roman" w:hAnsi="Arial" w:cs="Arial"/>
          <w:color w:val="0F1115"/>
          <w:kern w:val="0"/>
          <w:sz w:val="20"/>
          <w:szCs w:val="20"/>
          <w:lang w:eastAsia="en-GB"/>
          <w14:ligatures w14:val="none"/>
        </w:rPr>
        <w:t>20193447.</w:t>
      </w:r>
      <w:r w:rsidR="004B6BD5" w:rsidRPr="004D2B1C">
        <w:rPr>
          <w:rFonts w:ascii="Arial" w:eastAsia="Times New Roman" w:hAnsi="Arial" w:cs="Arial"/>
          <w:color w:val="0000FF"/>
          <w:kern w:val="0"/>
          <w:sz w:val="20"/>
          <w:szCs w:val="20"/>
          <w:lang w:eastAsia="en-GB"/>
          <w14:ligatures w14:val="none"/>
        </w:rPr>
        <w:t xml:space="preserve"> </w:t>
      </w:r>
      <w:hyperlink r:id="rId14" w:history="1">
        <w:r w:rsidR="004B6BD5" w:rsidRPr="004D2B1C">
          <w:rPr>
            <w:rStyle w:val="Hyperlink"/>
            <w:rFonts w:ascii="Arial" w:eastAsia="Times New Roman" w:hAnsi="Arial" w:cs="Arial"/>
            <w:color w:val="0000FF"/>
            <w:kern w:val="0"/>
            <w:sz w:val="20"/>
            <w:szCs w:val="20"/>
            <w:lang w:eastAsia="en-GB"/>
            <w14:ligatures w14:val="none"/>
          </w:rPr>
          <w:t>https://doi.org/10.1542/peds.2019-3447</w:t>
        </w:r>
      </w:hyperlink>
      <w:bookmarkEnd w:id="6"/>
      <w:r w:rsidR="004B6BD5">
        <w:rPr>
          <w:rFonts w:ascii="Arial" w:eastAsia="Times New Roman" w:hAnsi="Arial" w:cs="Arial"/>
          <w:color w:val="0F1115"/>
          <w:kern w:val="0"/>
          <w:sz w:val="20"/>
          <w:szCs w:val="20"/>
          <w:lang w:eastAsia="en-GB"/>
          <w14:ligatures w14:val="none"/>
        </w:rPr>
        <w:t xml:space="preserve"> </w:t>
      </w:r>
    </w:p>
    <w:p w14:paraId="5C03286F" w14:textId="672DED86"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7" w:name="_Ref229650237"/>
      <w:r w:rsidRPr="00854310">
        <w:rPr>
          <w:rFonts w:ascii="Arial" w:eastAsia="Times New Roman" w:hAnsi="Arial" w:cs="Arial"/>
          <w:color w:val="0F1115"/>
          <w:kern w:val="0"/>
          <w:sz w:val="20"/>
          <w:szCs w:val="20"/>
          <w:lang w:eastAsia="en-GB"/>
          <w14:ligatures w14:val="none"/>
        </w:rPr>
        <w:t xml:space="preserve">Zeidan J, </w:t>
      </w:r>
      <w:proofErr w:type="spellStart"/>
      <w:r w:rsidRPr="00854310">
        <w:rPr>
          <w:rFonts w:ascii="Arial" w:eastAsia="Times New Roman" w:hAnsi="Arial" w:cs="Arial"/>
          <w:color w:val="0F1115"/>
          <w:kern w:val="0"/>
          <w:sz w:val="20"/>
          <w:szCs w:val="20"/>
          <w:lang w:eastAsia="en-GB"/>
          <w14:ligatures w14:val="none"/>
        </w:rPr>
        <w:t>Fombonne</w:t>
      </w:r>
      <w:proofErr w:type="spellEnd"/>
      <w:r w:rsidRPr="00854310">
        <w:rPr>
          <w:rFonts w:ascii="Arial" w:eastAsia="Times New Roman" w:hAnsi="Arial" w:cs="Arial"/>
          <w:color w:val="0F1115"/>
          <w:kern w:val="0"/>
          <w:sz w:val="20"/>
          <w:szCs w:val="20"/>
          <w:lang w:eastAsia="en-GB"/>
          <w14:ligatures w14:val="none"/>
        </w:rPr>
        <w:t xml:space="preserve"> E, </w:t>
      </w:r>
      <w:proofErr w:type="spellStart"/>
      <w:r w:rsidRPr="00854310">
        <w:rPr>
          <w:rFonts w:ascii="Arial" w:eastAsia="Times New Roman" w:hAnsi="Arial" w:cs="Arial"/>
          <w:color w:val="0F1115"/>
          <w:kern w:val="0"/>
          <w:sz w:val="20"/>
          <w:szCs w:val="20"/>
          <w:lang w:eastAsia="en-GB"/>
          <w14:ligatures w14:val="none"/>
        </w:rPr>
        <w:t>Scorah</w:t>
      </w:r>
      <w:proofErr w:type="spellEnd"/>
      <w:r w:rsidRPr="00854310">
        <w:rPr>
          <w:rFonts w:ascii="Arial" w:eastAsia="Times New Roman" w:hAnsi="Arial" w:cs="Arial"/>
          <w:color w:val="0F1115"/>
          <w:kern w:val="0"/>
          <w:sz w:val="20"/>
          <w:szCs w:val="20"/>
          <w:lang w:eastAsia="en-GB"/>
          <w14:ligatures w14:val="none"/>
        </w:rPr>
        <w:t xml:space="preserve"> J, Ibrahim A, Durkin MS, Saxena S, Yusuf A, Shih A, </w:t>
      </w:r>
      <w:proofErr w:type="spellStart"/>
      <w:r w:rsidRPr="00854310">
        <w:rPr>
          <w:rFonts w:ascii="Arial" w:eastAsia="Times New Roman" w:hAnsi="Arial" w:cs="Arial"/>
          <w:color w:val="0F1115"/>
          <w:kern w:val="0"/>
          <w:sz w:val="20"/>
          <w:szCs w:val="20"/>
          <w:lang w:eastAsia="en-GB"/>
          <w14:ligatures w14:val="none"/>
        </w:rPr>
        <w:t>Elsabbagh</w:t>
      </w:r>
      <w:proofErr w:type="spellEnd"/>
      <w:r w:rsidRPr="00854310">
        <w:rPr>
          <w:rFonts w:ascii="Arial" w:eastAsia="Times New Roman" w:hAnsi="Arial" w:cs="Arial"/>
          <w:color w:val="0F1115"/>
          <w:kern w:val="0"/>
          <w:sz w:val="20"/>
          <w:szCs w:val="20"/>
          <w:lang w:eastAsia="en-GB"/>
          <w14:ligatures w14:val="none"/>
        </w:rPr>
        <w:t xml:space="preserve"> M. Global prevalence of autism: A systematic review update. Autism research. 2022 May;15(5):778-90.</w:t>
      </w:r>
      <w:r w:rsidR="004B6BD5">
        <w:rPr>
          <w:rFonts w:ascii="Arial" w:eastAsia="Times New Roman" w:hAnsi="Arial" w:cs="Arial"/>
          <w:color w:val="0F1115"/>
          <w:kern w:val="0"/>
          <w:sz w:val="20"/>
          <w:szCs w:val="20"/>
          <w:lang w:eastAsia="en-GB"/>
          <w14:ligatures w14:val="none"/>
        </w:rPr>
        <w:t xml:space="preserve"> </w:t>
      </w:r>
      <w:hyperlink r:id="rId15" w:history="1">
        <w:r w:rsidR="004B6BD5" w:rsidRPr="004D2B1C">
          <w:rPr>
            <w:rStyle w:val="Hyperlink"/>
            <w:rFonts w:ascii="Arial" w:eastAsia="Times New Roman" w:hAnsi="Arial" w:cs="Arial"/>
            <w:color w:val="0000FF"/>
            <w:kern w:val="0"/>
            <w:sz w:val="20"/>
            <w:szCs w:val="20"/>
            <w:lang w:eastAsia="en-GB"/>
            <w14:ligatures w14:val="none"/>
          </w:rPr>
          <w:t>https://doi.org/10.1002/aur.2696</w:t>
        </w:r>
      </w:hyperlink>
      <w:bookmarkEnd w:id="7"/>
      <w:r w:rsidR="004B6BD5" w:rsidRPr="004D2B1C">
        <w:rPr>
          <w:rFonts w:ascii="Arial" w:eastAsia="Times New Roman" w:hAnsi="Arial" w:cs="Arial"/>
          <w:color w:val="0000FF"/>
          <w:kern w:val="0"/>
          <w:sz w:val="20"/>
          <w:szCs w:val="20"/>
          <w:lang w:eastAsia="en-GB"/>
          <w14:ligatures w14:val="none"/>
        </w:rPr>
        <w:t xml:space="preserve"> </w:t>
      </w:r>
    </w:p>
    <w:p w14:paraId="71E85D6E" w14:textId="367AF2FE"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8" w:name="_Ref229650244"/>
      <w:r w:rsidRPr="00854310">
        <w:rPr>
          <w:rFonts w:ascii="Arial" w:eastAsia="Times New Roman" w:hAnsi="Arial" w:cs="Arial"/>
          <w:color w:val="0F1115"/>
          <w:kern w:val="0"/>
          <w:sz w:val="20"/>
          <w:szCs w:val="20"/>
          <w:lang w:eastAsia="en-GB"/>
          <w14:ligatures w14:val="none"/>
        </w:rPr>
        <w:t>Ayoub G. Nutritional Aspects in the Neurodevelopment of Autism: Folate, Stress, and Critical Periods. Journal of Medicinal Food. 2025 Jan;28(1):12-7.</w:t>
      </w:r>
      <w:r w:rsidR="004B6BD5" w:rsidRPr="004D2B1C">
        <w:rPr>
          <w:rFonts w:ascii="Arial" w:eastAsia="Times New Roman" w:hAnsi="Arial" w:cs="Arial"/>
          <w:color w:val="0000FF"/>
          <w:kern w:val="0"/>
          <w:sz w:val="20"/>
          <w:szCs w:val="20"/>
          <w:lang w:eastAsia="en-GB"/>
          <w14:ligatures w14:val="none"/>
        </w:rPr>
        <w:t xml:space="preserve"> </w:t>
      </w:r>
      <w:hyperlink r:id="rId16" w:history="1">
        <w:r w:rsidR="004B6BD5" w:rsidRPr="004D2B1C">
          <w:rPr>
            <w:rStyle w:val="Hyperlink"/>
            <w:rFonts w:ascii="Arial" w:eastAsia="Times New Roman" w:hAnsi="Arial" w:cs="Arial"/>
            <w:color w:val="0000FF"/>
            <w:kern w:val="0"/>
            <w:sz w:val="20"/>
            <w:szCs w:val="20"/>
            <w:lang w:eastAsia="en-GB"/>
            <w14:ligatures w14:val="none"/>
          </w:rPr>
          <w:t>https://doi.org/10.1089/jmf.2023.0180</w:t>
        </w:r>
      </w:hyperlink>
      <w:bookmarkEnd w:id="8"/>
      <w:r w:rsidR="004B6BD5">
        <w:rPr>
          <w:rFonts w:ascii="Arial" w:eastAsia="Times New Roman" w:hAnsi="Arial" w:cs="Arial"/>
          <w:color w:val="0F1115"/>
          <w:kern w:val="0"/>
          <w:sz w:val="20"/>
          <w:szCs w:val="20"/>
          <w:lang w:eastAsia="en-GB"/>
          <w14:ligatures w14:val="none"/>
        </w:rPr>
        <w:t xml:space="preserve"> </w:t>
      </w:r>
    </w:p>
    <w:p w14:paraId="44A859FC" w14:textId="528DE781"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9" w:name="_Ref229650253"/>
      <w:r w:rsidRPr="00854310">
        <w:rPr>
          <w:rFonts w:ascii="Arial" w:eastAsia="Times New Roman" w:hAnsi="Arial" w:cs="Arial"/>
          <w:color w:val="0F1115"/>
          <w:kern w:val="0"/>
          <w:sz w:val="20"/>
          <w:szCs w:val="20"/>
          <w:lang w:eastAsia="en-GB"/>
          <w14:ligatures w14:val="none"/>
        </w:rPr>
        <w:t>Rossignol DA, Frye RE. Cerebral folate deficiency, folate receptor alpha autoantibodies and leucovorin (folinic acid) treatment in autism spectrum disorders: a systematic review and meta-analysis. Journal of personalized medicine. 2021 Nov 3;11(11):1141.</w:t>
      </w:r>
      <w:r w:rsidR="004B6BD5">
        <w:rPr>
          <w:rFonts w:ascii="Arial" w:eastAsia="Times New Roman" w:hAnsi="Arial" w:cs="Arial"/>
          <w:color w:val="0F1115"/>
          <w:kern w:val="0"/>
          <w:sz w:val="20"/>
          <w:szCs w:val="20"/>
          <w:lang w:eastAsia="en-GB"/>
          <w14:ligatures w14:val="none"/>
        </w:rPr>
        <w:t xml:space="preserve"> </w:t>
      </w:r>
      <w:hyperlink r:id="rId17" w:history="1">
        <w:r w:rsidR="004B6BD5" w:rsidRPr="00D20AB0">
          <w:rPr>
            <w:rStyle w:val="Hyperlink"/>
            <w:rFonts w:ascii="Arial" w:eastAsia="Times New Roman" w:hAnsi="Arial" w:cs="Arial"/>
            <w:color w:val="0000FF"/>
            <w:kern w:val="0"/>
            <w:sz w:val="20"/>
            <w:szCs w:val="20"/>
            <w:lang w:eastAsia="en-GB"/>
            <w14:ligatures w14:val="none"/>
          </w:rPr>
          <w:t>https://doi.org/10.3390/jpm11111141</w:t>
        </w:r>
      </w:hyperlink>
      <w:bookmarkEnd w:id="9"/>
      <w:r w:rsidR="004B6BD5" w:rsidRPr="00D20AB0">
        <w:rPr>
          <w:rFonts w:ascii="Arial" w:eastAsia="Times New Roman" w:hAnsi="Arial" w:cs="Arial"/>
          <w:color w:val="0000FF"/>
          <w:kern w:val="0"/>
          <w:sz w:val="20"/>
          <w:szCs w:val="20"/>
          <w:lang w:eastAsia="en-GB"/>
          <w14:ligatures w14:val="none"/>
        </w:rPr>
        <w:t xml:space="preserve"> </w:t>
      </w:r>
    </w:p>
    <w:p w14:paraId="5AF43027" w14:textId="69B57742"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0" w:name="_Ref229650267"/>
      <w:r w:rsidRPr="00854310">
        <w:rPr>
          <w:rFonts w:ascii="Arial" w:eastAsia="Times New Roman" w:hAnsi="Arial" w:cs="Arial"/>
          <w:color w:val="0F1115"/>
          <w:kern w:val="0"/>
          <w:sz w:val="20"/>
          <w:szCs w:val="20"/>
          <w:lang w:eastAsia="en-GB"/>
          <w14:ligatures w14:val="none"/>
        </w:rPr>
        <w:t>Bobrowski-Khoury N, Ramaekers VT, Sequeira JM, Quadros EV. Folate receptor alpha autoantibodies in autism spectrum disorders: diagnosis, treatment and prevention. Journal of Personalized Medicine. 2021 Jul 24;11(8):710.</w:t>
      </w:r>
      <w:r w:rsidR="004B6BD5">
        <w:rPr>
          <w:rFonts w:ascii="Arial" w:eastAsia="Times New Roman" w:hAnsi="Arial" w:cs="Arial"/>
          <w:color w:val="0F1115"/>
          <w:kern w:val="0"/>
          <w:sz w:val="20"/>
          <w:szCs w:val="20"/>
          <w:lang w:eastAsia="en-GB"/>
          <w14:ligatures w14:val="none"/>
        </w:rPr>
        <w:t xml:space="preserve"> </w:t>
      </w:r>
      <w:hyperlink r:id="rId18" w:history="1">
        <w:r w:rsidR="004B6BD5" w:rsidRPr="00D20AB0">
          <w:rPr>
            <w:rStyle w:val="Hyperlink"/>
            <w:rFonts w:ascii="Arial" w:eastAsia="Times New Roman" w:hAnsi="Arial" w:cs="Arial"/>
            <w:color w:val="0000FF"/>
            <w:kern w:val="0"/>
            <w:sz w:val="20"/>
            <w:szCs w:val="20"/>
            <w:lang w:eastAsia="en-GB"/>
            <w14:ligatures w14:val="none"/>
          </w:rPr>
          <w:t>https://doi.org/10.3390/jpm11080710</w:t>
        </w:r>
      </w:hyperlink>
      <w:bookmarkEnd w:id="10"/>
      <w:r w:rsidR="004B6BD5" w:rsidRPr="00D20AB0">
        <w:rPr>
          <w:rFonts w:ascii="Arial" w:eastAsia="Times New Roman" w:hAnsi="Arial" w:cs="Arial"/>
          <w:color w:val="0000FF"/>
          <w:kern w:val="0"/>
          <w:sz w:val="20"/>
          <w:szCs w:val="20"/>
          <w:lang w:eastAsia="en-GB"/>
          <w14:ligatures w14:val="none"/>
        </w:rPr>
        <w:t xml:space="preserve"> </w:t>
      </w:r>
    </w:p>
    <w:p w14:paraId="42092805" w14:textId="32C147A1"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1" w:name="_Ref229650272"/>
      <w:r w:rsidRPr="00854310">
        <w:rPr>
          <w:rFonts w:ascii="Arial" w:eastAsia="Times New Roman" w:hAnsi="Arial" w:cs="Arial"/>
          <w:color w:val="0F1115"/>
          <w:kern w:val="0"/>
          <w:sz w:val="20"/>
          <w:szCs w:val="20"/>
          <w:lang w:eastAsia="en-GB"/>
          <w14:ligatures w14:val="none"/>
        </w:rPr>
        <w:t>Ramaekers VT, Sequeira JM, Blau N, Quadros EV. A milk</w:t>
      </w:r>
      <w:r w:rsidRPr="00854310">
        <w:rPr>
          <w:rFonts w:ascii="Cambria Math" w:eastAsia="Times New Roman" w:hAnsi="Cambria Math" w:cs="Cambria Math"/>
          <w:color w:val="0F1115"/>
          <w:kern w:val="0"/>
          <w:sz w:val="20"/>
          <w:szCs w:val="20"/>
          <w:lang w:eastAsia="en-GB"/>
          <w14:ligatures w14:val="none"/>
        </w:rPr>
        <w:t>‐</w:t>
      </w:r>
      <w:r w:rsidRPr="00854310">
        <w:rPr>
          <w:rFonts w:ascii="Arial" w:eastAsia="Times New Roman" w:hAnsi="Arial" w:cs="Arial"/>
          <w:color w:val="0F1115"/>
          <w:kern w:val="0"/>
          <w:sz w:val="20"/>
          <w:szCs w:val="20"/>
          <w:lang w:eastAsia="en-GB"/>
          <w14:ligatures w14:val="none"/>
        </w:rPr>
        <w:t>free diet downregulates folate receptor autoimmunity in cerebral folate deficiency syndrome. Developmental Medicine &amp; Child Neurology. 2008 May;50(5):346-52.</w:t>
      </w:r>
      <w:r w:rsidR="004B6BD5">
        <w:rPr>
          <w:rFonts w:ascii="Arial" w:eastAsia="Times New Roman" w:hAnsi="Arial" w:cs="Arial"/>
          <w:color w:val="0F1115"/>
          <w:kern w:val="0"/>
          <w:sz w:val="20"/>
          <w:szCs w:val="20"/>
          <w:lang w:eastAsia="en-GB"/>
          <w14:ligatures w14:val="none"/>
        </w:rPr>
        <w:t xml:space="preserve"> </w:t>
      </w:r>
      <w:hyperlink r:id="rId19" w:history="1">
        <w:r w:rsidR="004B6BD5" w:rsidRPr="00D20AB0">
          <w:rPr>
            <w:rStyle w:val="Hyperlink"/>
            <w:rFonts w:ascii="Arial" w:eastAsia="Times New Roman" w:hAnsi="Arial" w:cs="Arial"/>
            <w:color w:val="0000FF"/>
            <w:kern w:val="0"/>
            <w:sz w:val="20"/>
            <w:szCs w:val="20"/>
            <w:lang w:eastAsia="en-GB"/>
            <w14:ligatures w14:val="none"/>
          </w:rPr>
          <w:t>https://doi.org/10.1111/j.1469-8749.2008.02053.x</w:t>
        </w:r>
      </w:hyperlink>
      <w:bookmarkEnd w:id="11"/>
      <w:r w:rsidR="004B6BD5" w:rsidRPr="00D20AB0">
        <w:rPr>
          <w:rFonts w:ascii="Arial" w:eastAsia="Times New Roman" w:hAnsi="Arial" w:cs="Arial"/>
          <w:color w:val="0000FF"/>
          <w:kern w:val="0"/>
          <w:sz w:val="20"/>
          <w:szCs w:val="20"/>
          <w:lang w:eastAsia="en-GB"/>
          <w14:ligatures w14:val="none"/>
        </w:rPr>
        <w:t xml:space="preserve"> </w:t>
      </w:r>
    </w:p>
    <w:p w14:paraId="04629D4B" w14:textId="13118B4A"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2" w:name="_Ref229650278"/>
      <w:r w:rsidRPr="00854310">
        <w:rPr>
          <w:rFonts w:ascii="Arial" w:eastAsia="Times New Roman" w:hAnsi="Arial" w:cs="Arial"/>
          <w:color w:val="0F1115"/>
          <w:kern w:val="0"/>
          <w:sz w:val="20"/>
          <w:szCs w:val="20"/>
          <w:lang w:eastAsia="en-GB"/>
          <w14:ligatures w14:val="none"/>
        </w:rPr>
        <w:t>Chen L, Shi XJ, Liu H, Mao X, Gui LN, Wang H, Cheng Y. Oxidative stress marker aberrations in children with autism spectrum disorder: a systematic review and meta-analysis of 87 studies (N= 9109). Translational psychiatry. 2021 Jan 5;11(1):15.</w:t>
      </w:r>
      <w:r w:rsidR="004B6BD5" w:rsidRPr="00D20AB0">
        <w:rPr>
          <w:rFonts w:ascii="Arial" w:eastAsia="Times New Roman" w:hAnsi="Arial" w:cs="Arial"/>
          <w:color w:val="0000FF"/>
          <w:kern w:val="0"/>
          <w:sz w:val="20"/>
          <w:szCs w:val="20"/>
          <w:lang w:eastAsia="en-GB"/>
          <w14:ligatures w14:val="none"/>
        </w:rPr>
        <w:t xml:space="preserve"> </w:t>
      </w:r>
      <w:hyperlink r:id="rId20" w:history="1">
        <w:r w:rsidR="004B6BD5" w:rsidRPr="00D20AB0">
          <w:rPr>
            <w:rStyle w:val="Hyperlink"/>
            <w:rFonts w:ascii="Arial" w:eastAsia="Times New Roman" w:hAnsi="Arial" w:cs="Arial"/>
            <w:color w:val="0000FF"/>
            <w:kern w:val="0"/>
            <w:sz w:val="20"/>
            <w:szCs w:val="20"/>
            <w:lang w:eastAsia="en-GB"/>
            <w14:ligatures w14:val="none"/>
          </w:rPr>
          <w:t>https://doi.org/10.1038/s41398-020-01135-3</w:t>
        </w:r>
      </w:hyperlink>
      <w:bookmarkEnd w:id="12"/>
      <w:r w:rsidR="004B6BD5">
        <w:rPr>
          <w:rFonts w:ascii="Arial" w:eastAsia="Times New Roman" w:hAnsi="Arial" w:cs="Arial"/>
          <w:color w:val="0F1115"/>
          <w:kern w:val="0"/>
          <w:sz w:val="20"/>
          <w:szCs w:val="20"/>
          <w:lang w:eastAsia="en-GB"/>
          <w14:ligatures w14:val="none"/>
        </w:rPr>
        <w:t xml:space="preserve"> </w:t>
      </w:r>
    </w:p>
    <w:p w14:paraId="25823785" w14:textId="7305E2F3" w:rsidR="00854310" w:rsidRDefault="00854310"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3" w:name="_Ref229650284"/>
      <w:proofErr w:type="spellStart"/>
      <w:r w:rsidRPr="00854310">
        <w:rPr>
          <w:rFonts w:ascii="Arial" w:eastAsia="Times New Roman" w:hAnsi="Arial" w:cs="Arial"/>
          <w:color w:val="0F1115"/>
          <w:kern w:val="0"/>
          <w:sz w:val="20"/>
          <w:szCs w:val="20"/>
          <w:lang w:eastAsia="en-GB"/>
          <w14:ligatures w14:val="none"/>
        </w:rPr>
        <w:t>Kittana</w:t>
      </w:r>
      <w:proofErr w:type="spellEnd"/>
      <w:r w:rsidRPr="00854310">
        <w:rPr>
          <w:rFonts w:ascii="Arial" w:eastAsia="Times New Roman" w:hAnsi="Arial" w:cs="Arial"/>
          <w:color w:val="0F1115"/>
          <w:kern w:val="0"/>
          <w:sz w:val="20"/>
          <w:szCs w:val="20"/>
          <w:lang w:eastAsia="en-GB"/>
          <w14:ligatures w14:val="none"/>
        </w:rPr>
        <w:t xml:space="preserve"> M, </w:t>
      </w:r>
      <w:proofErr w:type="spellStart"/>
      <w:r w:rsidRPr="00854310">
        <w:rPr>
          <w:rFonts w:ascii="Arial" w:eastAsia="Times New Roman" w:hAnsi="Arial" w:cs="Arial"/>
          <w:color w:val="0F1115"/>
          <w:kern w:val="0"/>
          <w:sz w:val="20"/>
          <w:szCs w:val="20"/>
          <w:lang w:eastAsia="en-GB"/>
          <w14:ligatures w14:val="none"/>
        </w:rPr>
        <w:t>Ahmadani</w:t>
      </w:r>
      <w:proofErr w:type="spellEnd"/>
      <w:r w:rsidRPr="00854310">
        <w:rPr>
          <w:rFonts w:ascii="Arial" w:eastAsia="Times New Roman" w:hAnsi="Arial" w:cs="Arial"/>
          <w:color w:val="0F1115"/>
          <w:kern w:val="0"/>
          <w:sz w:val="20"/>
          <w:szCs w:val="20"/>
          <w:lang w:eastAsia="en-GB"/>
          <w14:ligatures w14:val="none"/>
        </w:rPr>
        <w:t xml:space="preserve"> A, </w:t>
      </w:r>
      <w:proofErr w:type="spellStart"/>
      <w:r w:rsidRPr="00854310">
        <w:rPr>
          <w:rFonts w:ascii="Arial" w:eastAsia="Times New Roman" w:hAnsi="Arial" w:cs="Arial"/>
          <w:color w:val="0F1115"/>
          <w:kern w:val="0"/>
          <w:sz w:val="20"/>
          <w:szCs w:val="20"/>
          <w:lang w:eastAsia="en-GB"/>
          <w14:ligatures w14:val="none"/>
        </w:rPr>
        <w:t>Stojanovska</w:t>
      </w:r>
      <w:proofErr w:type="spellEnd"/>
      <w:r w:rsidRPr="00854310">
        <w:rPr>
          <w:rFonts w:ascii="Arial" w:eastAsia="Times New Roman" w:hAnsi="Arial" w:cs="Arial"/>
          <w:color w:val="0F1115"/>
          <w:kern w:val="0"/>
          <w:sz w:val="20"/>
          <w:szCs w:val="20"/>
          <w:lang w:eastAsia="en-GB"/>
          <w14:ligatures w14:val="none"/>
        </w:rPr>
        <w:t xml:space="preserve"> L, Attlee A. The role of vitamin D supplementation in children with autism spectrum disorder: a narrative review. Nutrients. 2021 Dec 22;14(1):26.</w:t>
      </w:r>
      <w:r w:rsidR="004B6BD5">
        <w:rPr>
          <w:rFonts w:ascii="Arial" w:eastAsia="Times New Roman" w:hAnsi="Arial" w:cs="Arial"/>
          <w:color w:val="0F1115"/>
          <w:kern w:val="0"/>
          <w:sz w:val="20"/>
          <w:szCs w:val="20"/>
          <w:lang w:eastAsia="en-GB"/>
          <w14:ligatures w14:val="none"/>
        </w:rPr>
        <w:t xml:space="preserve"> </w:t>
      </w:r>
      <w:hyperlink r:id="rId21" w:history="1">
        <w:r w:rsidR="004B6BD5" w:rsidRPr="00D20AB0">
          <w:rPr>
            <w:rStyle w:val="Hyperlink"/>
            <w:rFonts w:ascii="Arial" w:eastAsia="Times New Roman" w:hAnsi="Arial" w:cs="Arial"/>
            <w:color w:val="0000FF"/>
            <w:kern w:val="0"/>
            <w:sz w:val="20"/>
            <w:szCs w:val="20"/>
            <w:lang w:eastAsia="en-GB"/>
            <w14:ligatures w14:val="none"/>
          </w:rPr>
          <w:t>https://doi.org/10.3390/nu14010026</w:t>
        </w:r>
      </w:hyperlink>
      <w:bookmarkEnd w:id="13"/>
      <w:r w:rsidR="004B6BD5" w:rsidRPr="00D20AB0">
        <w:rPr>
          <w:rFonts w:ascii="Arial" w:eastAsia="Times New Roman" w:hAnsi="Arial" w:cs="Arial"/>
          <w:color w:val="0000FF"/>
          <w:kern w:val="0"/>
          <w:sz w:val="20"/>
          <w:szCs w:val="20"/>
          <w:lang w:eastAsia="en-GB"/>
          <w14:ligatures w14:val="none"/>
        </w:rPr>
        <w:t xml:space="preserve"> </w:t>
      </w:r>
    </w:p>
    <w:p w14:paraId="6AE47518" w14:textId="15923830" w:rsidR="00B77644" w:rsidRPr="00062B53" w:rsidRDefault="00B77644"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4" w:name="_Ref229650293"/>
      <w:proofErr w:type="spellStart"/>
      <w:r w:rsidRPr="00062B53">
        <w:rPr>
          <w:rFonts w:ascii="Arial" w:eastAsia="Times New Roman" w:hAnsi="Arial" w:cs="Arial"/>
          <w:color w:val="0F1115"/>
          <w:kern w:val="0"/>
          <w:sz w:val="20"/>
          <w:szCs w:val="20"/>
          <w:lang w:eastAsia="en-GB"/>
          <w14:ligatures w14:val="none"/>
        </w:rPr>
        <w:t>Schopler</w:t>
      </w:r>
      <w:proofErr w:type="spellEnd"/>
      <w:r w:rsidRPr="00062B53">
        <w:rPr>
          <w:rFonts w:ascii="Arial" w:eastAsia="Times New Roman" w:hAnsi="Arial" w:cs="Arial"/>
          <w:color w:val="0F1115"/>
          <w:kern w:val="0"/>
          <w:sz w:val="20"/>
          <w:szCs w:val="20"/>
          <w:lang w:eastAsia="en-GB"/>
          <w14:ligatures w14:val="none"/>
        </w:rPr>
        <w:t xml:space="preserve"> E, Van </w:t>
      </w:r>
      <w:proofErr w:type="spellStart"/>
      <w:r w:rsidRPr="00062B53">
        <w:rPr>
          <w:rFonts w:ascii="Arial" w:eastAsia="Times New Roman" w:hAnsi="Arial" w:cs="Arial"/>
          <w:color w:val="0F1115"/>
          <w:kern w:val="0"/>
          <w:sz w:val="20"/>
          <w:szCs w:val="20"/>
          <w:lang w:eastAsia="en-GB"/>
          <w14:ligatures w14:val="none"/>
        </w:rPr>
        <w:t>Bourgondien</w:t>
      </w:r>
      <w:proofErr w:type="spellEnd"/>
      <w:r w:rsidRPr="00062B53">
        <w:rPr>
          <w:rFonts w:ascii="Arial" w:eastAsia="Times New Roman" w:hAnsi="Arial" w:cs="Arial"/>
          <w:color w:val="0F1115"/>
          <w:kern w:val="0"/>
          <w:sz w:val="20"/>
          <w:szCs w:val="20"/>
          <w:lang w:eastAsia="en-GB"/>
          <w14:ligatures w14:val="none"/>
        </w:rPr>
        <w:t xml:space="preserve"> ME, Wellman GJ, Love SR. Childhood Autism Rating Scale, Second Edition (CARS2). Los Angeles: Western Psychological Services; 2010.</w:t>
      </w:r>
      <w:bookmarkEnd w:id="14"/>
    </w:p>
    <w:p w14:paraId="46226D13" w14:textId="4C104BC0" w:rsidR="0044187E" w:rsidRDefault="0044187E"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5" w:name="_Ref229650325"/>
      <w:proofErr w:type="spellStart"/>
      <w:r w:rsidRPr="0044187E">
        <w:rPr>
          <w:rFonts w:ascii="Arial" w:eastAsia="Times New Roman" w:hAnsi="Arial" w:cs="Arial"/>
          <w:color w:val="0F1115"/>
          <w:kern w:val="0"/>
          <w:sz w:val="20"/>
          <w:szCs w:val="20"/>
          <w:lang w:eastAsia="en-GB"/>
          <w14:ligatures w14:val="none"/>
        </w:rPr>
        <w:t>Aranow</w:t>
      </w:r>
      <w:proofErr w:type="spellEnd"/>
      <w:r w:rsidRPr="0044187E">
        <w:rPr>
          <w:rFonts w:ascii="Arial" w:eastAsia="Times New Roman" w:hAnsi="Arial" w:cs="Arial"/>
          <w:color w:val="0F1115"/>
          <w:kern w:val="0"/>
          <w:sz w:val="20"/>
          <w:szCs w:val="20"/>
          <w:lang w:eastAsia="en-GB"/>
          <w14:ligatures w14:val="none"/>
        </w:rPr>
        <w:t xml:space="preserve"> C. Vitamin D and the immune system. Journal of investigative medicine. 2011 Aug;59(6):881-6.</w:t>
      </w:r>
      <w:r w:rsidR="004B6BD5">
        <w:rPr>
          <w:rFonts w:ascii="Arial" w:eastAsia="Times New Roman" w:hAnsi="Arial" w:cs="Arial"/>
          <w:color w:val="0F1115"/>
          <w:kern w:val="0"/>
          <w:sz w:val="20"/>
          <w:szCs w:val="20"/>
          <w:lang w:eastAsia="en-GB"/>
          <w14:ligatures w14:val="none"/>
        </w:rPr>
        <w:t xml:space="preserve"> </w:t>
      </w:r>
      <w:hyperlink r:id="rId22" w:history="1">
        <w:r w:rsidR="004B6BD5" w:rsidRPr="00D20AB0">
          <w:rPr>
            <w:rStyle w:val="Hyperlink"/>
            <w:rFonts w:ascii="Arial" w:eastAsia="Times New Roman" w:hAnsi="Arial" w:cs="Arial"/>
            <w:color w:val="0000FF"/>
            <w:kern w:val="0"/>
            <w:sz w:val="20"/>
            <w:szCs w:val="20"/>
            <w:lang w:eastAsia="en-GB"/>
            <w14:ligatures w14:val="none"/>
          </w:rPr>
          <w:t>https://doi.org/10.2310/JIM.0b013e31821b8755</w:t>
        </w:r>
      </w:hyperlink>
      <w:bookmarkEnd w:id="15"/>
      <w:r w:rsidR="004B6BD5" w:rsidRPr="00D20AB0">
        <w:rPr>
          <w:rFonts w:ascii="Arial" w:eastAsia="Times New Roman" w:hAnsi="Arial" w:cs="Arial"/>
          <w:color w:val="0000FF"/>
          <w:kern w:val="0"/>
          <w:sz w:val="20"/>
          <w:szCs w:val="20"/>
          <w:lang w:eastAsia="en-GB"/>
          <w14:ligatures w14:val="none"/>
        </w:rPr>
        <w:t xml:space="preserve"> </w:t>
      </w:r>
    </w:p>
    <w:p w14:paraId="2FB35840" w14:textId="287FC3D9" w:rsidR="0044187E" w:rsidRDefault="0044187E"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6" w:name="_Ref229650339"/>
      <w:r w:rsidRPr="0044187E">
        <w:rPr>
          <w:rFonts w:ascii="Arial" w:eastAsia="Times New Roman" w:hAnsi="Arial" w:cs="Arial"/>
          <w:color w:val="0F1115"/>
          <w:kern w:val="0"/>
          <w:sz w:val="20"/>
          <w:szCs w:val="20"/>
          <w:lang w:eastAsia="en-GB"/>
          <w14:ligatures w14:val="none"/>
        </w:rPr>
        <w:t xml:space="preserve">Frye RE, Cohen IL, Sequeira JM, Hill Z, Espinoza A, Brown WT, Mevs C, Marchi E, Flory M, Jenkins EC, </w:t>
      </w:r>
      <w:proofErr w:type="spellStart"/>
      <w:r w:rsidRPr="0044187E">
        <w:rPr>
          <w:rFonts w:ascii="Arial" w:eastAsia="Times New Roman" w:hAnsi="Arial" w:cs="Arial"/>
          <w:color w:val="0F1115"/>
          <w:kern w:val="0"/>
          <w:sz w:val="20"/>
          <w:szCs w:val="20"/>
          <w:lang w:eastAsia="en-GB"/>
          <w14:ligatures w14:val="none"/>
        </w:rPr>
        <w:t>Velinov</w:t>
      </w:r>
      <w:proofErr w:type="spellEnd"/>
      <w:r w:rsidRPr="0044187E">
        <w:rPr>
          <w:rFonts w:ascii="Arial" w:eastAsia="Times New Roman" w:hAnsi="Arial" w:cs="Arial"/>
          <w:color w:val="0F1115"/>
          <w:kern w:val="0"/>
          <w:sz w:val="20"/>
          <w:szCs w:val="20"/>
          <w:lang w:eastAsia="en-GB"/>
          <w14:ligatures w14:val="none"/>
        </w:rPr>
        <w:t xml:space="preserve"> MT. Transgenerational Effects and Heritability of Folate Receptor Alpha Autoantibodies in Autism Spectrum Disorder. International journal of molecular sciences. 2025 Aug 26;26(17):8293.</w:t>
      </w:r>
      <w:r w:rsidR="004B6BD5">
        <w:rPr>
          <w:rFonts w:ascii="Arial" w:eastAsia="Times New Roman" w:hAnsi="Arial" w:cs="Arial"/>
          <w:color w:val="0F1115"/>
          <w:kern w:val="0"/>
          <w:sz w:val="20"/>
          <w:szCs w:val="20"/>
          <w:lang w:eastAsia="en-GB"/>
          <w14:ligatures w14:val="none"/>
        </w:rPr>
        <w:t xml:space="preserve"> </w:t>
      </w:r>
      <w:hyperlink r:id="rId23" w:history="1">
        <w:r w:rsidR="004B6BD5" w:rsidRPr="00D20AB0">
          <w:rPr>
            <w:rStyle w:val="Hyperlink"/>
            <w:rFonts w:ascii="Arial" w:eastAsia="Times New Roman" w:hAnsi="Arial" w:cs="Arial"/>
            <w:color w:val="0000FF"/>
            <w:kern w:val="0"/>
            <w:sz w:val="20"/>
            <w:szCs w:val="20"/>
            <w:lang w:eastAsia="en-GB"/>
            <w14:ligatures w14:val="none"/>
          </w:rPr>
          <w:t>https://doi.org/10.3390/ijms26178293</w:t>
        </w:r>
      </w:hyperlink>
      <w:bookmarkEnd w:id="16"/>
      <w:r w:rsidR="004B6BD5" w:rsidRPr="00D20AB0">
        <w:rPr>
          <w:rFonts w:ascii="Arial" w:eastAsia="Times New Roman" w:hAnsi="Arial" w:cs="Arial"/>
          <w:color w:val="0000FF"/>
          <w:kern w:val="0"/>
          <w:sz w:val="20"/>
          <w:szCs w:val="20"/>
          <w:lang w:eastAsia="en-GB"/>
          <w14:ligatures w14:val="none"/>
        </w:rPr>
        <w:t xml:space="preserve"> </w:t>
      </w:r>
    </w:p>
    <w:p w14:paraId="5013130A" w14:textId="36789448" w:rsidR="0044187E" w:rsidRDefault="0044187E"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7" w:name="_Ref229650355"/>
      <w:r w:rsidRPr="0044187E">
        <w:rPr>
          <w:rFonts w:ascii="Arial" w:eastAsia="Times New Roman" w:hAnsi="Arial" w:cs="Arial"/>
          <w:color w:val="0F1115"/>
          <w:kern w:val="0"/>
          <w:sz w:val="20"/>
          <w:szCs w:val="20"/>
          <w:lang w:eastAsia="en-GB"/>
          <w14:ligatures w14:val="none"/>
        </w:rPr>
        <w:t xml:space="preserve">Frye RE, Slattery J, </w:t>
      </w:r>
      <w:proofErr w:type="spellStart"/>
      <w:r w:rsidRPr="0044187E">
        <w:rPr>
          <w:rFonts w:ascii="Arial" w:eastAsia="Times New Roman" w:hAnsi="Arial" w:cs="Arial"/>
          <w:color w:val="0F1115"/>
          <w:kern w:val="0"/>
          <w:sz w:val="20"/>
          <w:szCs w:val="20"/>
          <w:lang w:eastAsia="en-GB"/>
          <w14:ligatures w14:val="none"/>
        </w:rPr>
        <w:t>Delhey</w:t>
      </w:r>
      <w:proofErr w:type="spellEnd"/>
      <w:r w:rsidRPr="0044187E">
        <w:rPr>
          <w:rFonts w:ascii="Arial" w:eastAsia="Times New Roman" w:hAnsi="Arial" w:cs="Arial"/>
          <w:color w:val="0F1115"/>
          <w:kern w:val="0"/>
          <w:sz w:val="20"/>
          <w:szCs w:val="20"/>
          <w:lang w:eastAsia="en-GB"/>
          <w14:ligatures w14:val="none"/>
        </w:rPr>
        <w:t xml:space="preserve"> L, Furgerson B, Strickland T, Tippett M, </w:t>
      </w:r>
      <w:proofErr w:type="spellStart"/>
      <w:r w:rsidRPr="0044187E">
        <w:rPr>
          <w:rFonts w:ascii="Arial" w:eastAsia="Times New Roman" w:hAnsi="Arial" w:cs="Arial"/>
          <w:color w:val="0F1115"/>
          <w:kern w:val="0"/>
          <w:sz w:val="20"/>
          <w:szCs w:val="20"/>
          <w:lang w:eastAsia="en-GB"/>
          <w14:ligatures w14:val="none"/>
        </w:rPr>
        <w:t>Sailey</w:t>
      </w:r>
      <w:proofErr w:type="spellEnd"/>
      <w:r w:rsidRPr="0044187E">
        <w:rPr>
          <w:rFonts w:ascii="Arial" w:eastAsia="Times New Roman" w:hAnsi="Arial" w:cs="Arial"/>
          <w:color w:val="0F1115"/>
          <w:kern w:val="0"/>
          <w:sz w:val="20"/>
          <w:szCs w:val="20"/>
          <w:lang w:eastAsia="en-GB"/>
          <w14:ligatures w14:val="none"/>
        </w:rPr>
        <w:t xml:space="preserve"> A, Wynne R, Rose S, Melnyk S, Jill James S. Folinic acid improves verbal communication in children with autism and language impairment: a randomized double-blind placebo-controlled trial. Molecular psychiatry. 2018 Feb;23(2):247-56.</w:t>
      </w:r>
      <w:r w:rsidR="004B6BD5">
        <w:rPr>
          <w:rFonts w:ascii="Arial" w:eastAsia="Times New Roman" w:hAnsi="Arial" w:cs="Arial"/>
          <w:color w:val="0F1115"/>
          <w:kern w:val="0"/>
          <w:sz w:val="20"/>
          <w:szCs w:val="20"/>
          <w:lang w:eastAsia="en-GB"/>
          <w14:ligatures w14:val="none"/>
        </w:rPr>
        <w:t xml:space="preserve"> </w:t>
      </w:r>
      <w:hyperlink r:id="rId24" w:history="1">
        <w:r w:rsidR="004B6BD5" w:rsidRPr="00D20AB0">
          <w:rPr>
            <w:rStyle w:val="Hyperlink"/>
            <w:rFonts w:ascii="Arial" w:eastAsia="Times New Roman" w:hAnsi="Arial" w:cs="Arial"/>
            <w:color w:val="0000FF"/>
            <w:kern w:val="0"/>
            <w:sz w:val="20"/>
            <w:szCs w:val="20"/>
            <w:lang w:eastAsia="en-GB"/>
            <w14:ligatures w14:val="none"/>
          </w:rPr>
          <w:t>https://doi.org/10.1038/mp.2016.168</w:t>
        </w:r>
      </w:hyperlink>
      <w:bookmarkEnd w:id="17"/>
      <w:r w:rsidR="004B6BD5" w:rsidRPr="00D20AB0">
        <w:rPr>
          <w:rFonts w:ascii="Arial" w:eastAsia="Times New Roman" w:hAnsi="Arial" w:cs="Arial"/>
          <w:color w:val="0000FF"/>
          <w:kern w:val="0"/>
          <w:sz w:val="20"/>
          <w:szCs w:val="20"/>
          <w:lang w:eastAsia="en-GB"/>
          <w14:ligatures w14:val="none"/>
        </w:rPr>
        <w:t xml:space="preserve"> </w:t>
      </w:r>
    </w:p>
    <w:p w14:paraId="239A24A4" w14:textId="7A3540C1" w:rsidR="0044187E" w:rsidRDefault="0044187E"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8" w:name="_Ref229650368"/>
      <w:r w:rsidRPr="0044187E">
        <w:rPr>
          <w:rFonts w:ascii="Arial" w:eastAsia="Times New Roman" w:hAnsi="Arial" w:cs="Arial"/>
          <w:color w:val="0F1115"/>
          <w:kern w:val="0"/>
          <w:sz w:val="20"/>
          <w:szCs w:val="20"/>
          <w:lang w:eastAsia="en-GB"/>
          <w14:ligatures w14:val="none"/>
        </w:rPr>
        <w:t>Radwan K, Wu G, Banks-Word K, Rosenberger R. An open-label case series of glutathione use for symptomatic management in children with autism spectrum disorder. Medical Sciences. 2023 Nov 15;11(4):73.</w:t>
      </w:r>
      <w:r w:rsidR="004B6BD5">
        <w:rPr>
          <w:rFonts w:ascii="Arial" w:eastAsia="Times New Roman" w:hAnsi="Arial" w:cs="Arial"/>
          <w:color w:val="0F1115"/>
          <w:kern w:val="0"/>
          <w:sz w:val="20"/>
          <w:szCs w:val="20"/>
          <w:lang w:eastAsia="en-GB"/>
          <w14:ligatures w14:val="none"/>
        </w:rPr>
        <w:t xml:space="preserve"> </w:t>
      </w:r>
      <w:hyperlink r:id="rId25" w:history="1">
        <w:r w:rsidR="004B6BD5" w:rsidRPr="00D20AB0">
          <w:rPr>
            <w:rStyle w:val="Hyperlink"/>
            <w:rFonts w:ascii="Arial" w:eastAsia="Times New Roman" w:hAnsi="Arial" w:cs="Arial"/>
            <w:color w:val="0000FF"/>
            <w:kern w:val="0"/>
            <w:sz w:val="20"/>
            <w:szCs w:val="20"/>
            <w:lang w:eastAsia="en-GB"/>
            <w14:ligatures w14:val="none"/>
          </w:rPr>
          <w:t>https://doi.org/10.3390/medsci11040073</w:t>
        </w:r>
      </w:hyperlink>
      <w:bookmarkEnd w:id="18"/>
      <w:r w:rsidR="004B6BD5" w:rsidRPr="00D20AB0">
        <w:rPr>
          <w:rFonts w:ascii="Arial" w:eastAsia="Times New Roman" w:hAnsi="Arial" w:cs="Arial"/>
          <w:color w:val="0000FF"/>
          <w:kern w:val="0"/>
          <w:sz w:val="20"/>
          <w:szCs w:val="20"/>
          <w:lang w:eastAsia="en-GB"/>
          <w14:ligatures w14:val="none"/>
        </w:rPr>
        <w:t xml:space="preserve"> </w:t>
      </w:r>
    </w:p>
    <w:p w14:paraId="7571F168" w14:textId="523C5DEA" w:rsidR="0044187E" w:rsidRDefault="0044187E"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19" w:name="_Ref229650391"/>
      <w:r w:rsidRPr="0044187E">
        <w:rPr>
          <w:rFonts w:ascii="Arial" w:eastAsia="Times New Roman" w:hAnsi="Arial" w:cs="Arial"/>
          <w:color w:val="0F1115"/>
          <w:kern w:val="0"/>
          <w:sz w:val="20"/>
          <w:szCs w:val="20"/>
          <w:lang w:eastAsia="en-GB"/>
          <w14:ligatures w14:val="none"/>
        </w:rPr>
        <w:t xml:space="preserve">Abate BB, Tusa BS, </w:t>
      </w:r>
      <w:proofErr w:type="spellStart"/>
      <w:r w:rsidRPr="0044187E">
        <w:rPr>
          <w:rFonts w:ascii="Arial" w:eastAsia="Times New Roman" w:hAnsi="Arial" w:cs="Arial"/>
          <w:color w:val="0F1115"/>
          <w:kern w:val="0"/>
          <w:sz w:val="20"/>
          <w:szCs w:val="20"/>
          <w:lang w:eastAsia="en-GB"/>
          <w14:ligatures w14:val="none"/>
        </w:rPr>
        <w:t>Sendekie</w:t>
      </w:r>
      <w:proofErr w:type="spellEnd"/>
      <w:r w:rsidRPr="0044187E">
        <w:rPr>
          <w:rFonts w:ascii="Arial" w:eastAsia="Times New Roman" w:hAnsi="Arial" w:cs="Arial"/>
          <w:color w:val="0F1115"/>
          <w:kern w:val="0"/>
          <w:sz w:val="20"/>
          <w:szCs w:val="20"/>
          <w:lang w:eastAsia="en-GB"/>
          <w14:ligatures w14:val="none"/>
        </w:rPr>
        <w:t xml:space="preserve"> AK, Temesgen D, Mekuria K, </w:t>
      </w:r>
      <w:proofErr w:type="spellStart"/>
      <w:r w:rsidRPr="0044187E">
        <w:rPr>
          <w:rFonts w:ascii="Arial" w:eastAsia="Times New Roman" w:hAnsi="Arial" w:cs="Arial"/>
          <w:color w:val="0F1115"/>
          <w:kern w:val="0"/>
          <w:sz w:val="20"/>
          <w:szCs w:val="20"/>
          <w:lang w:eastAsia="en-GB"/>
          <w14:ligatures w14:val="none"/>
        </w:rPr>
        <w:t>Alamaw</w:t>
      </w:r>
      <w:proofErr w:type="spellEnd"/>
      <w:r w:rsidRPr="0044187E">
        <w:rPr>
          <w:rFonts w:ascii="Arial" w:eastAsia="Times New Roman" w:hAnsi="Arial" w:cs="Arial"/>
          <w:color w:val="0F1115"/>
          <w:kern w:val="0"/>
          <w:sz w:val="20"/>
          <w:szCs w:val="20"/>
          <w:lang w:eastAsia="en-GB"/>
          <w14:ligatures w14:val="none"/>
        </w:rPr>
        <w:t xml:space="preserve"> AW, Azmeraw M, Zemariam AB, Kitaw TA, </w:t>
      </w:r>
      <w:proofErr w:type="spellStart"/>
      <w:r w:rsidRPr="0044187E">
        <w:rPr>
          <w:rFonts w:ascii="Arial" w:eastAsia="Times New Roman" w:hAnsi="Arial" w:cs="Arial"/>
          <w:color w:val="0F1115"/>
          <w:kern w:val="0"/>
          <w:sz w:val="20"/>
          <w:szCs w:val="20"/>
          <w:lang w:eastAsia="en-GB"/>
          <w14:ligatures w14:val="none"/>
        </w:rPr>
        <w:t>Kassaw</w:t>
      </w:r>
      <w:proofErr w:type="spellEnd"/>
      <w:r w:rsidRPr="0044187E">
        <w:rPr>
          <w:rFonts w:ascii="Arial" w:eastAsia="Times New Roman" w:hAnsi="Arial" w:cs="Arial"/>
          <w:color w:val="0F1115"/>
          <w:kern w:val="0"/>
          <w:sz w:val="20"/>
          <w:szCs w:val="20"/>
          <w:lang w:eastAsia="en-GB"/>
          <w14:ligatures w14:val="none"/>
        </w:rPr>
        <w:t xml:space="preserve"> A, Abebe GK. The association between maternal prenatal folic acid and multivitamin supplementation and autism spectrum disorders in offspring: An umbrella review. </w:t>
      </w:r>
      <w:proofErr w:type="spellStart"/>
      <w:r w:rsidRPr="0044187E">
        <w:rPr>
          <w:rFonts w:ascii="Arial" w:eastAsia="Times New Roman" w:hAnsi="Arial" w:cs="Arial"/>
          <w:color w:val="0F1115"/>
          <w:kern w:val="0"/>
          <w:sz w:val="20"/>
          <w:szCs w:val="20"/>
          <w:lang w:eastAsia="en-GB"/>
          <w14:ligatures w14:val="none"/>
        </w:rPr>
        <w:t>PLoS</w:t>
      </w:r>
      <w:proofErr w:type="spellEnd"/>
      <w:r w:rsidRPr="0044187E">
        <w:rPr>
          <w:rFonts w:ascii="Arial" w:eastAsia="Times New Roman" w:hAnsi="Arial" w:cs="Arial"/>
          <w:color w:val="0F1115"/>
          <w:kern w:val="0"/>
          <w:sz w:val="20"/>
          <w:szCs w:val="20"/>
          <w:lang w:eastAsia="en-GB"/>
          <w14:ligatures w14:val="none"/>
        </w:rPr>
        <w:t xml:space="preserve"> One. 2025 Nov 18;20(11</w:t>
      </w:r>
      <w:proofErr w:type="gramStart"/>
      <w:r w:rsidRPr="0044187E">
        <w:rPr>
          <w:rFonts w:ascii="Arial" w:eastAsia="Times New Roman" w:hAnsi="Arial" w:cs="Arial"/>
          <w:color w:val="0F1115"/>
          <w:kern w:val="0"/>
          <w:sz w:val="20"/>
          <w:szCs w:val="20"/>
          <w:lang w:eastAsia="en-GB"/>
          <w14:ligatures w14:val="none"/>
        </w:rPr>
        <w:t>):e</w:t>
      </w:r>
      <w:proofErr w:type="gramEnd"/>
      <w:r w:rsidRPr="0044187E">
        <w:rPr>
          <w:rFonts w:ascii="Arial" w:eastAsia="Times New Roman" w:hAnsi="Arial" w:cs="Arial"/>
          <w:color w:val="0F1115"/>
          <w:kern w:val="0"/>
          <w:sz w:val="20"/>
          <w:szCs w:val="20"/>
          <w:lang w:eastAsia="en-GB"/>
          <w14:ligatures w14:val="none"/>
        </w:rPr>
        <w:t>0334852.</w:t>
      </w:r>
      <w:r w:rsidR="004B6BD5">
        <w:rPr>
          <w:rFonts w:ascii="Arial" w:eastAsia="Times New Roman" w:hAnsi="Arial" w:cs="Arial"/>
          <w:color w:val="0F1115"/>
          <w:kern w:val="0"/>
          <w:sz w:val="20"/>
          <w:szCs w:val="20"/>
          <w:lang w:eastAsia="en-GB"/>
          <w14:ligatures w14:val="none"/>
        </w:rPr>
        <w:t xml:space="preserve"> </w:t>
      </w:r>
      <w:hyperlink r:id="rId26" w:history="1">
        <w:r w:rsidR="004B6BD5" w:rsidRPr="00D20AB0">
          <w:rPr>
            <w:rStyle w:val="Hyperlink"/>
            <w:rFonts w:ascii="Arial" w:eastAsia="Times New Roman" w:hAnsi="Arial" w:cs="Arial"/>
            <w:color w:val="0000FF"/>
            <w:kern w:val="0"/>
            <w:sz w:val="20"/>
            <w:szCs w:val="20"/>
            <w:lang w:eastAsia="en-GB"/>
            <w14:ligatures w14:val="none"/>
          </w:rPr>
          <w:t>https://doi.org/10.1371/journal.pone.0334852</w:t>
        </w:r>
      </w:hyperlink>
      <w:bookmarkEnd w:id="19"/>
      <w:r w:rsidR="004B6BD5" w:rsidRPr="00D20AB0">
        <w:rPr>
          <w:rFonts w:ascii="Arial" w:eastAsia="Times New Roman" w:hAnsi="Arial" w:cs="Arial"/>
          <w:color w:val="0000FF"/>
          <w:kern w:val="0"/>
          <w:sz w:val="20"/>
          <w:szCs w:val="20"/>
          <w:lang w:eastAsia="en-GB"/>
          <w14:ligatures w14:val="none"/>
        </w:rPr>
        <w:t xml:space="preserve"> </w:t>
      </w:r>
    </w:p>
    <w:p w14:paraId="6FB334D9" w14:textId="686A068F" w:rsidR="0044187E" w:rsidRDefault="0044187E"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0" w:name="_Ref229650397"/>
      <w:proofErr w:type="spellStart"/>
      <w:r w:rsidRPr="0044187E">
        <w:rPr>
          <w:rFonts w:ascii="Arial" w:eastAsia="Times New Roman" w:hAnsi="Arial" w:cs="Arial"/>
          <w:color w:val="0F1115"/>
          <w:kern w:val="0"/>
          <w:sz w:val="20"/>
          <w:szCs w:val="20"/>
          <w:lang w:eastAsia="en-GB"/>
          <w14:ligatures w14:val="none"/>
        </w:rPr>
        <w:t>Abdelrazek</w:t>
      </w:r>
      <w:proofErr w:type="spellEnd"/>
      <w:r w:rsidRPr="0044187E">
        <w:rPr>
          <w:rFonts w:ascii="Arial" w:eastAsia="Times New Roman" w:hAnsi="Arial" w:cs="Arial"/>
          <w:color w:val="0F1115"/>
          <w:kern w:val="0"/>
          <w:sz w:val="20"/>
          <w:szCs w:val="20"/>
          <w:lang w:eastAsia="en-GB"/>
          <w14:ligatures w14:val="none"/>
        </w:rPr>
        <w:t xml:space="preserve"> ME, Rice F. Maternal stress in pregnancy and child autism spectrum disorder: evaluating putative causal associations using a genetically informed </w:t>
      </w:r>
      <w:r w:rsidRPr="0044187E">
        <w:rPr>
          <w:rFonts w:ascii="Arial" w:eastAsia="Times New Roman" w:hAnsi="Arial" w:cs="Arial"/>
          <w:color w:val="0F1115"/>
          <w:kern w:val="0"/>
          <w:sz w:val="20"/>
          <w:szCs w:val="20"/>
          <w:lang w:eastAsia="en-GB"/>
          <w14:ligatures w14:val="none"/>
        </w:rPr>
        <w:lastRenderedPageBreak/>
        <w:t xml:space="preserve">design. </w:t>
      </w:r>
      <w:proofErr w:type="spellStart"/>
      <w:r w:rsidRPr="0044187E">
        <w:rPr>
          <w:rFonts w:ascii="Arial" w:eastAsia="Times New Roman" w:hAnsi="Arial" w:cs="Arial"/>
          <w:color w:val="0F1115"/>
          <w:kern w:val="0"/>
          <w:sz w:val="20"/>
          <w:szCs w:val="20"/>
          <w:lang w:eastAsia="en-GB"/>
          <w14:ligatures w14:val="none"/>
        </w:rPr>
        <w:t>BJPsych</w:t>
      </w:r>
      <w:proofErr w:type="spellEnd"/>
      <w:r w:rsidRPr="0044187E">
        <w:rPr>
          <w:rFonts w:ascii="Arial" w:eastAsia="Times New Roman" w:hAnsi="Arial" w:cs="Arial"/>
          <w:color w:val="0F1115"/>
          <w:kern w:val="0"/>
          <w:sz w:val="20"/>
          <w:szCs w:val="20"/>
          <w:lang w:eastAsia="en-GB"/>
          <w14:ligatures w14:val="none"/>
        </w:rPr>
        <w:t xml:space="preserve"> Open. 2021 Jun;7(S1</w:t>
      </w:r>
      <w:proofErr w:type="gramStart"/>
      <w:r w:rsidRPr="0044187E">
        <w:rPr>
          <w:rFonts w:ascii="Arial" w:eastAsia="Times New Roman" w:hAnsi="Arial" w:cs="Arial"/>
          <w:color w:val="0F1115"/>
          <w:kern w:val="0"/>
          <w:sz w:val="20"/>
          <w:szCs w:val="20"/>
          <w:lang w:eastAsia="en-GB"/>
          <w14:ligatures w14:val="none"/>
        </w:rPr>
        <w:t>):S</w:t>
      </w:r>
      <w:proofErr w:type="gramEnd"/>
      <w:r w:rsidRPr="0044187E">
        <w:rPr>
          <w:rFonts w:ascii="Arial" w:eastAsia="Times New Roman" w:hAnsi="Arial" w:cs="Arial"/>
          <w:color w:val="0F1115"/>
          <w:kern w:val="0"/>
          <w:sz w:val="20"/>
          <w:szCs w:val="20"/>
          <w:lang w:eastAsia="en-GB"/>
          <w14:ligatures w14:val="none"/>
        </w:rPr>
        <w:t>22-.</w:t>
      </w:r>
      <w:r w:rsidR="004B6BD5">
        <w:rPr>
          <w:rFonts w:ascii="Arial" w:eastAsia="Times New Roman" w:hAnsi="Arial" w:cs="Arial"/>
          <w:color w:val="0F1115"/>
          <w:kern w:val="0"/>
          <w:sz w:val="20"/>
          <w:szCs w:val="20"/>
          <w:lang w:eastAsia="en-GB"/>
          <w14:ligatures w14:val="none"/>
        </w:rPr>
        <w:t xml:space="preserve"> </w:t>
      </w:r>
      <w:hyperlink r:id="rId27" w:history="1">
        <w:r w:rsidR="004B6BD5" w:rsidRPr="00D20AB0">
          <w:rPr>
            <w:rStyle w:val="Hyperlink"/>
            <w:rFonts w:ascii="Arial" w:eastAsia="Times New Roman" w:hAnsi="Arial" w:cs="Arial"/>
            <w:color w:val="0000FF"/>
            <w:kern w:val="0"/>
            <w:sz w:val="20"/>
            <w:szCs w:val="20"/>
            <w:lang w:eastAsia="en-GB"/>
            <w14:ligatures w14:val="none"/>
          </w:rPr>
          <w:t>https://doi.org/10.1192/bjo.2021.114</w:t>
        </w:r>
      </w:hyperlink>
      <w:bookmarkEnd w:id="20"/>
      <w:r w:rsidR="004B6BD5" w:rsidRPr="00D20AB0">
        <w:rPr>
          <w:rFonts w:ascii="Arial" w:eastAsia="Times New Roman" w:hAnsi="Arial" w:cs="Arial"/>
          <w:color w:val="0000FF"/>
          <w:kern w:val="0"/>
          <w:sz w:val="20"/>
          <w:szCs w:val="20"/>
          <w:lang w:eastAsia="en-GB"/>
          <w14:ligatures w14:val="none"/>
        </w:rPr>
        <w:t xml:space="preserve"> </w:t>
      </w:r>
    </w:p>
    <w:p w14:paraId="0CC18A83" w14:textId="139F2D6D" w:rsidR="006D5ADC" w:rsidRDefault="006D5ADC" w:rsidP="0064087B">
      <w:pPr>
        <w:numPr>
          <w:ilvl w:val="0"/>
          <w:numId w:val="2"/>
        </w:numPr>
        <w:shd w:val="clear" w:color="auto" w:fill="FFFFFF"/>
        <w:spacing w:after="0" w:line="240" w:lineRule="auto"/>
        <w:ind w:left="288" w:hanging="288"/>
        <w:jc w:val="both"/>
        <w:rPr>
          <w:rFonts w:ascii="Arial" w:eastAsia="Times New Roman" w:hAnsi="Arial" w:cs="Arial"/>
          <w:color w:val="0F1115"/>
          <w:kern w:val="0"/>
          <w:sz w:val="20"/>
          <w:szCs w:val="20"/>
          <w:lang w:eastAsia="en-GB"/>
          <w14:ligatures w14:val="none"/>
        </w:rPr>
      </w:pPr>
      <w:bookmarkStart w:id="21" w:name="_Ref229650402"/>
      <w:r w:rsidRPr="006D5ADC">
        <w:rPr>
          <w:rFonts w:ascii="Arial" w:eastAsia="Times New Roman" w:hAnsi="Arial" w:cs="Arial"/>
          <w:color w:val="0F1115"/>
          <w:kern w:val="0"/>
          <w:sz w:val="20"/>
          <w:szCs w:val="20"/>
          <w:lang w:eastAsia="en-GB"/>
          <w14:ligatures w14:val="none"/>
        </w:rPr>
        <w:t xml:space="preserve">Chen HJ, Antonson AM, </w:t>
      </w:r>
      <w:proofErr w:type="spellStart"/>
      <w:r w:rsidRPr="006D5ADC">
        <w:rPr>
          <w:rFonts w:ascii="Arial" w:eastAsia="Times New Roman" w:hAnsi="Arial" w:cs="Arial"/>
          <w:color w:val="0F1115"/>
          <w:kern w:val="0"/>
          <w:sz w:val="20"/>
          <w:szCs w:val="20"/>
          <w:lang w:eastAsia="en-GB"/>
          <w14:ligatures w14:val="none"/>
        </w:rPr>
        <w:t>Rajasekera</w:t>
      </w:r>
      <w:proofErr w:type="spellEnd"/>
      <w:r w:rsidRPr="006D5ADC">
        <w:rPr>
          <w:rFonts w:ascii="Arial" w:eastAsia="Times New Roman" w:hAnsi="Arial" w:cs="Arial"/>
          <w:color w:val="0F1115"/>
          <w:kern w:val="0"/>
          <w:sz w:val="20"/>
          <w:szCs w:val="20"/>
          <w:lang w:eastAsia="en-GB"/>
          <w14:ligatures w14:val="none"/>
        </w:rPr>
        <w:t xml:space="preserve"> TA, Patterson JM, Bailey MT, Gur TL. Prenatal stress causes intrauterine inflammation and serotonergic dysfunction, and long-term </w:t>
      </w:r>
      <w:proofErr w:type="spellStart"/>
      <w:r w:rsidRPr="006D5ADC">
        <w:rPr>
          <w:rFonts w:ascii="Arial" w:eastAsia="Times New Roman" w:hAnsi="Arial" w:cs="Arial"/>
          <w:color w:val="0F1115"/>
          <w:kern w:val="0"/>
          <w:sz w:val="20"/>
          <w:szCs w:val="20"/>
          <w:lang w:eastAsia="en-GB"/>
          <w14:ligatures w14:val="none"/>
        </w:rPr>
        <w:t>behavioral</w:t>
      </w:r>
      <w:proofErr w:type="spellEnd"/>
      <w:r w:rsidRPr="006D5ADC">
        <w:rPr>
          <w:rFonts w:ascii="Arial" w:eastAsia="Times New Roman" w:hAnsi="Arial" w:cs="Arial"/>
          <w:color w:val="0F1115"/>
          <w:kern w:val="0"/>
          <w:sz w:val="20"/>
          <w:szCs w:val="20"/>
          <w:lang w:eastAsia="en-GB"/>
          <w14:ligatures w14:val="none"/>
        </w:rPr>
        <w:t xml:space="preserve"> deficits through microbe-and CCL2-dependent mechanisms. Translational psychiatry. 2020 Jun 16;10(1):191.</w:t>
      </w:r>
      <w:r w:rsidR="004B6BD5">
        <w:rPr>
          <w:rFonts w:ascii="Arial" w:eastAsia="Times New Roman" w:hAnsi="Arial" w:cs="Arial"/>
          <w:color w:val="0F1115"/>
          <w:kern w:val="0"/>
          <w:sz w:val="20"/>
          <w:szCs w:val="20"/>
          <w:lang w:eastAsia="en-GB"/>
          <w14:ligatures w14:val="none"/>
        </w:rPr>
        <w:t xml:space="preserve"> </w:t>
      </w:r>
      <w:hyperlink r:id="rId28" w:history="1">
        <w:r w:rsidR="004B6BD5" w:rsidRPr="00D20AB0">
          <w:rPr>
            <w:rStyle w:val="Hyperlink"/>
            <w:rFonts w:ascii="Arial" w:eastAsia="Times New Roman" w:hAnsi="Arial" w:cs="Arial"/>
            <w:color w:val="0000FF"/>
            <w:kern w:val="0"/>
            <w:sz w:val="20"/>
            <w:szCs w:val="20"/>
            <w:lang w:eastAsia="en-GB"/>
            <w14:ligatures w14:val="none"/>
          </w:rPr>
          <w:t>https://doi.org/10.1038/s41398-020-00876-5</w:t>
        </w:r>
      </w:hyperlink>
      <w:bookmarkEnd w:id="21"/>
      <w:r w:rsidR="004B6BD5" w:rsidRPr="00D20AB0">
        <w:rPr>
          <w:rFonts w:ascii="Arial" w:eastAsia="Times New Roman" w:hAnsi="Arial" w:cs="Arial"/>
          <w:color w:val="0000FF"/>
          <w:kern w:val="0"/>
          <w:sz w:val="20"/>
          <w:szCs w:val="20"/>
          <w:lang w:eastAsia="en-GB"/>
          <w14:ligatures w14:val="none"/>
        </w:rPr>
        <w:t xml:space="preserve"> </w:t>
      </w:r>
    </w:p>
    <w:p w14:paraId="2BC0AEDB" w14:textId="1FA6B728" w:rsidR="006D5ADC" w:rsidRPr="006D5ADC" w:rsidRDefault="006D5ADC" w:rsidP="0064087B">
      <w:pPr>
        <w:numPr>
          <w:ilvl w:val="0"/>
          <w:numId w:val="2"/>
        </w:numPr>
        <w:shd w:val="clear" w:color="auto" w:fill="FFFFFF"/>
        <w:spacing w:after="0" w:line="240" w:lineRule="auto"/>
        <w:ind w:left="288" w:hanging="288"/>
        <w:jc w:val="both"/>
        <w:rPr>
          <w:rFonts w:ascii="Arial" w:hAnsi="Arial" w:cs="Arial"/>
          <w:sz w:val="20"/>
          <w:szCs w:val="20"/>
        </w:rPr>
      </w:pPr>
      <w:bookmarkStart w:id="22" w:name="_Ref229650409"/>
      <w:r w:rsidRPr="006D5ADC">
        <w:rPr>
          <w:rFonts w:ascii="Arial" w:eastAsia="Times New Roman" w:hAnsi="Arial" w:cs="Arial"/>
          <w:color w:val="0F1115"/>
          <w:kern w:val="0"/>
          <w:sz w:val="20"/>
          <w:szCs w:val="20"/>
          <w:lang w:eastAsia="en-GB"/>
          <w14:ligatures w14:val="none"/>
        </w:rPr>
        <w:t xml:space="preserve">Fang Z, Zhou Y, Chen K, Wang J, Liu X, Jia P. Gut microbiota and autism spectrum disorder: advances in dietary intervention strategies based on the microbiota-gut-brain axis mechanism. Frontiers in neuroscience. 2025 Jun </w:t>
      </w:r>
      <w:proofErr w:type="gramStart"/>
      <w:r w:rsidRPr="006D5ADC">
        <w:rPr>
          <w:rFonts w:ascii="Arial" w:eastAsia="Times New Roman" w:hAnsi="Arial" w:cs="Arial"/>
          <w:color w:val="0F1115"/>
          <w:kern w:val="0"/>
          <w:sz w:val="20"/>
          <w:szCs w:val="20"/>
          <w:lang w:eastAsia="en-GB"/>
          <w14:ligatures w14:val="none"/>
        </w:rPr>
        <w:t>4;19:1587818</w:t>
      </w:r>
      <w:proofErr w:type="gramEnd"/>
      <w:r w:rsidRPr="006D5ADC">
        <w:rPr>
          <w:rFonts w:ascii="Arial" w:eastAsia="Times New Roman" w:hAnsi="Arial" w:cs="Arial"/>
          <w:color w:val="0F1115"/>
          <w:kern w:val="0"/>
          <w:sz w:val="20"/>
          <w:szCs w:val="20"/>
          <w:lang w:eastAsia="en-GB"/>
          <w14:ligatures w14:val="none"/>
        </w:rPr>
        <w:t>.</w:t>
      </w:r>
      <w:r w:rsidR="004B6BD5">
        <w:rPr>
          <w:rFonts w:ascii="Arial" w:eastAsia="Times New Roman" w:hAnsi="Arial" w:cs="Arial"/>
          <w:color w:val="0F1115"/>
          <w:kern w:val="0"/>
          <w:sz w:val="20"/>
          <w:szCs w:val="20"/>
          <w:lang w:eastAsia="en-GB"/>
          <w14:ligatures w14:val="none"/>
        </w:rPr>
        <w:t xml:space="preserve"> </w:t>
      </w:r>
      <w:hyperlink r:id="rId29" w:history="1">
        <w:r w:rsidR="004B6BD5" w:rsidRPr="00D20AB0">
          <w:rPr>
            <w:rStyle w:val="Hyperlink"/>
            <w:rFonts w:ascii="Arial" w:eastAsia="Times New Roman" w:hAnsi="Arial" w:cs="Arial"/>
            <w:color w:val="0000FF"/>
            <w:kern w:val="0"/>
            <w:sz w:val="20"/>
            <w:szCs w:val="20"/>
            <w:lang w:eastAsia="en-GB"/>
            <w14:ligatures w14:val="none"/>
          </w:rPr>
          <w:t>https://doi.org/10.3389/fnins.2025.1587818</w:t>
        </w:r>
      </w:hyperlink>
      <w:bookmarkEnd w:id="22"/>
      <w:r w:rsidR="004B6BD5" w:rsidRPr="00D20AB0">
        <w:rPr>
          <w:rFonts w:ascii="Arial" w:eastAsia="Times New Roman" w:hAnsi="Arial" w:cs="Arial"/>
          <w:color w:val="0000FF"/>
          <w:kern w:val="0"/>
          <w:sz w:val="20"/>
          <w:szCs w:val="20"/>
          <w:lang w:eastAsia="en-GB"/>
          <w14:ligatures w14:val="none"/>
        </w:rPr>
        <w:t xml:space="preserve"> </w:t>
      </w:r>
    </w:p>
    <w:p w14:paraId="7BE63ABD" w14:textId="6CE60A65" w:rsidR="00FE1673" w:rsidRPr="00D20AB0" w:rsidRDefault="00901CF5" w:rsidP="00901CF5">
      <w:pPr>
        <w:numPr>
          <w:ilvl w:val="0"/>
          <w:numId w:val="2"/>
        </w:numPr>
        <w:shd w:val="clear" w:color="auto" w:fill="FFFFFF"/>
        <w:spacing w:after="0" w:line="240" w:lineRule="auto"/>
        <w:ind w:left="288" w:hanging="288"/>
        <w:jc w:val="both"/>
        <w:rPr>
          <w:rFonts w:ascii="Arial" w:hAnsi="Arial" w:cs="Arial"/>
          <w:color w:val="0000FF"/>
          <w:sz w:val="20"/>
          <w:szCs w:val="20"/>
        </w:rPr>
      </w:pPr>
      <w:bookmarkStart w:id="23" w:name="_Ref229650414"/>
      <w:r w:rsidRPr="00901CF5">
        <w:rPr>
          <w:rFonts w:ascii="Arial" w:eastAsia="Times New Roman" w:hAnsi="Arial" w:cs="Arial"/>
          <w:color w:val="0F1115"/>
          <w:kern w:val="0"/>
          <w:sz w:val="20"/>
          <w:szCs w:val="20"/>
          <w:lang w:eastAsia="en-GB"/>
          <w14:ligatures w14:val="none"/>
        </w:rPr>
        <w:t xml:space="preserve">Jawad AH, </w:t>
      </w:r>
      <w:proofErr w:type="spellStart"/>
      <w:r w:rsidRPr="00901CF5">
        <w:rPr>
          <w:rFonts w:ascii="Arial" w:eastAsia="Times New Roman" w:hAnsi="Arial" w:cs="Arial"/>
          <w:color w:val="0F1115"/>
          <w:kern w:val="0"/>
          <w:sz w:val="20"/>
          <w:szCs w:val="20"/>
          <w:lang w:eastAsia="en-GB"/>
          <w14:ligatures w14:val="none"/>
        </w:rPr>
        <w:t>Sadeghnia</w:t>
      </w:r>
      <w:proofErr w:type="spellEnd"/>
      <w:r w:rsidRPr="00901CF5">
        <w:rPr>
          <w:rFonts w:ascii="Arial" w:eastAsia="Times New Roman" w:hAnsi="Arial" w:cs="Arial"/>
          <w:color w:val="0F1115"/>
          <w:kern w:val="0"/>
          <w:sz w:val="20"/>
          <w:szCs w:val="20"/>
          <w:lang w:eastAsia="en-GB"/>
          <w14:ligatures w14:val="none"/>
        </w:rPr>
        <w:t xml:space="preserve"> HR, Salman SM. Therapeutic effects of Acetyl-11-Keto-Beta-Boswellic Acid (AKBA) on autism-like behaviours and oxidative stress in a valproic acid-induced mouse model. Babcock University Medical Journal. 2025 Dec 31;8(2):328-38.</w:t>
      </w:r>
      <w:r w:rsidR="004B6BD5">
        <w:rPr>
          <w:rFonts w:ascii="Arial" w:eastAsia="Times New Roman" w:hAnsi="Arial" w:cs="Arial"/>
          <w:color w:val="0F1115"/>
          <w:kern w:val="0"/>
          <w:sz w:val="20"/>
          <w:szCs w:val="20"/>
          <w:lang w:eastAsia="en-GB"/>
          <w14:ligatures w14:val="none"/>
        </w:rPr>
        <w:t xml:space="preserve"> </w:t>
      </w:r>
      <w:hyperlink r:id="rId30" w:history="1">
        <w:r w:rsidR="004B6BD5" w:rsidRPr="00D20AB0">
          <w:rPr>
            <w:rStyle w:val="Hyperlink"/>
            <w:rFonts w:ascii="Arial" w:eastAsia="Times New Roman" w:hAnsi="Arial" w:cs="Arial"/>
            <w:color w:val="0000FF"/>
            <w:kern w:val="0"/>
            <w:sz w:val="20"/>
            <w:szCs w:val="20"/>
            <w:lang w:eastAsia="en-GB"/>
            <w14:ligatures w14:val="none"/>
          </w:rPr>
          <w:t>https://doi.org/10.38029/babcockuniv.med.j..v8i2.1074</w:t>
        </w:r>
      </w:hyperlink>
      <w:bookmarkEnd w:id="23"/>
      <w:r w:rsidR="004B6BD5" w:rsidRPr="00D20AB0">
        <w:rPr>
          <w:rFonts w:ascii="Arial" w:eastAsia="Times New Roman" w:hAnsi="Arial" w:cs="Arial"/>
          <w:color w:val="0000FF"/>
          <w:kern w:val="0"/>
          <w:sz w:val="20"/>
          <w:szCs w:val="20"/>
          <w:lang w:eastAsia="en-GB"/>
          <w14:ligatures w14:val="none"/>
        </w:rPr>
        <w:t xml:space="preserve"> </w:t>
      </w:r>
    </w:p>
    <w:sectPr w:rsidR="00FE1673" w:rsidRPr="00D20AB0" w:rsidSect="004315AF">
      <w:type w:val="continuous"/>
      <w:pgSz w:w="11906" w:h="16838"/>
      <w:pgMar w:top="1440" w:right="1440" w:bottom="1440" w:left="1440" w:header="720" w:footer="720" w:gutter="0"/>
      <w:cols w:num="2"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7FE12" w14:textId="77777777" w:rsidR="00095B98" w:rsidRDefault="00095B98" w:rsidP="00187190">
      <w:pPr>
        <w:spacing w:after="0" w:line="240" w:lineRule="auto"/>
      </w:pPr>
      <w:r>
        <w:separator/>
      </w:r>
    </w:p>
  </w:endnote>
  <w:endnote w:type="continuationSeparator" w:id="0">
    <w:p w14:paraId="72E85D98" w14:textId="77777777" w:rsidR="00095B98" w:rsidRDefault="00095B98" w:rsidP="00187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FF"/>
      </w:rPr>
      <w:id w:val="-1683730648"/>
      <w:docPartObj>
        <w:docPartGallery w:val="Page Numbers (Bottom of Page)"/>
        <w:docPartUnique/>
      </w:docPartObj>
    </w:sdtPr>
    <w:sdtEndPr>
      <w:rPr>
        <w:noProof/>
      </w:rPr>
    </w:sdtEndPr>
    <w:sdtContent>
      <w:p w14:paraId="00CA71DE" w14:textId="4E773255" w:rsidR="00EA62C2" w:rsidRPr="00EA62C2" w:rsidRDefault="00EA62C2">
        <w:pPr>
          <w:pStyle w:val="Footer"/>
          <w:jc w:val="right"/>
          <w:rPr>
            <w:rFonts w:ascii="Arial" w:hAnsi="Arial" w:cs="Arial"/>
            <w:color w:val="0000FF"/>
          </w:rPr>
        </w:pPr>
        <w:r w:rsidRPr="00EA62C2">
          <w:rPr>
            <w:rFonts w:ascii="Arial" w:hAnsi="Arial" w:cs="Arial"/>
            <w:color w:val="0000FF"/>
          </w:rPr>
          <w:fldChar w:fldCharType="begin"/>
        </w:r>
        <w:r w:rsidRPr="00EA62C2">
          <w:rPr>
            <w:rFonts w:ascii="Arial" w:hAnsi="Arial" w:cs="Arial"/>
            <w:color w:val="0000FF"/>
          </w:rPr>
          <w:instrText xml:space="preserve"> PAGE   \* MERGEFORMAT </w:instrText>
        </w:r>
        <w:r w:rsidRPr="00EA62C2">
          <w:rPr>
            <w:rFonts w:ascii="Arial" w:hAnsi="Arial" w:cs="Arial"/>
            <w:color w:val="0000FF"/>
          </w:rPr>
          <w:fldChar w:fldCharType="separate"/>
        </w:r>
        <w:r w:rsidRPr="00EA62C2">
          <w:rPr>
            <w:rFonts w:ascii="Arial" w:hAnsi="Arial" w:cs="Arial"/>
            <w:noProof/>
            <w:color w:val="0000FF"/>
          </w:rPr>
          <w:t>2</w:t>
        </w:r>
        <w:r w:rsidRPr="00EA62C2">
          <w:rPr>
            <w:rFonts w:ascii="Arial" w:hAnsi="Arial" w:cs="Arial"/>
            <w:noProof/>
            <w:color w:val="0000FF"/>
          </w:rPr>
          <w:fldChar w:fldCharType="end"/>
        </w:r>
      </w:p>
    </w:sdtContent>
  </w:sdt>
  <w:p w14:paraId="22B406D4" w14:textId="77777777" w:rsidR="00EA62C2" w:rsidRDefault="00EA62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66C02" w14:textId="77777777" w:rsidR="00187190" w:rsidRDefault="00187190" w:rsidP="00187190">
    <w:pPr>
      <w:autoSpaceDE w:val="0"/>
      <w:autoSpaceDN w:val="0"/>
      <w:adjustRightInd w:val="0"/>
      <w:spacing w:after="0" w:line="240" w:lineRule="auto"/>
      <w:rPr>
        <w:rFonts w:ascii="Arial" w:eastAsia="SimSun" w:hAnsi="Arial" w:cs="Arial"/>
        <w:bCs/>
        <w:color w:val="000000"/>
        <w:sz w:val="16"/>
        <w:szCs w:val="16"/>
      </w:rPr>
    </w:pPr>
  </w:p>
  <w:p w14:paraId="596E7DAE" w14:textId="43FBE469" w:rsidR="00187190" w:rsidRPr="00BC04BD" w:rsidRDefault="00187190" w:rsidP="00187190">
    <w:pPr>
      <w:autoSpaceDE w:val="0"/>
      <w:autoSpaceDN w:val="0"/>
      <w:adjustRightInd w:val="0"/>
      <w:spacing w:after="0" w:line="240" w:lineRule="auto"/>
      <w:rPr>
        <w:rFonts w:ascii="Arial" w:eastAsia="SimSun" w:hAnsi="Arial" w:cs="Arial"/>
        <w:bCs/>
        <w:color w:val="000000"/>
        <w:sz w:val="16"/>
        <w:szCs w:val="16"/>
      </w:rPr>
    </w:pPr>
    <w:r w:rsidRPr="00BC04BD">
      <w:rPr>
        <w:rFonts w:ascii="Arial" w:eastAsia="SimSun" w:hAnsi="Arial" w:cs="Arial"/>
        <w:bCs/>
        <w:color w:val="000000"/>
        <w:sz w:val="16"/>
        <w:szCs w:val="16"/>
      </w:rPr>
      <w:t>Correspondence:</w:t>
    </w:r>
  </w:p>
  <w:p w14:paraId="30D04322" w14:textId="77777777" w:rsidR="00187190" w:rsidRPr="00187190" w:rsidRDefault="00187190" w:rsidP="00187190">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proofErr w:type="spellStart"/>
    <w:r w:rsidRPr="00187190">
      <w:rPr>
        <w:rFonts w:ascii="Arial" w:eastAsia="Times New Roman" w:hAnsi="Arial" w:cs="Arial"/>
        <w:iCs/>
        <w:color w:val="000000"/>
        <w:sz w:val="16"/>
        <w:szCs w:val="16"/>
        <w:shd w:val="clear" w:color="auto" w:fill="FFFFFF"/>
      </w:rPr>
      <w:t>Iqili</w:t>
    </w:r>
    <w:proofErr w:type="spellEnd"/>
    <w:r w:rsidRPr="00187190">
      <w:rPr>
        <w:rFonts w:ascii="Arial" w:eastAsia="Times New Roman" w:hAnsi="Arial" w:cs="Arial"/>
        <w:iCs/>
        <w:color w:val="000000"/>
        <w:sz w:val="16"/>
        <w:szCs w:val="16"/>
        <w:shd w:val="clear" w:color="auto" w:fill="FFFFFF"/>
      </w:rPr>
      <w:t xml:space="preserve"> Helen SI</w:t>
    </w:r>
    <w:r w:rsidRPr="00187190">
      <w:rPr>
        <w:rFonts w:ascii="Arial" w:eastAsia="Times New Roman" w:hAnsi="Arial" w:cs="Arial"/>
        <w:iCs/>
        <w:color w:val="000000"/>
        <w:sz w:val="16"/>
        <w:szCs w:val="16"/>
        <w:shd w:val="clear" w:color="auto" w:fill="FFFFFF"/>
      </w:rPr>
      <w:br/>
      <w:t>Department of Pathological Analysis, College of Science</w:t>
    </w:r>
  </w:p>
  <w:p w14:paraId="40AC3BC7" w14:textId="77777777" w:rsidR="00187190" w:rsidRPr="00187190" w:rsidRDefault="00187190" w:rsidP="00187190">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187190">
      <w:rPr>
        <w:rFonts w:ascii="Arial" w:eastAsia="Times New Roman" w:hAnsi="Arial" w:cs="Arial"/>
        <w:iCs/>
        <w:color w:val="000000"/>
        <w:sz w:val="16"/>
        <w:szCs w:val="16"/>
        <w:shd w:val="clear" w:color="auto" w:fill="FFFFFF"/>
      </w:rPr>
      <w:t xml:space="preserve">University of </w:t>
    </w:r>
    <w:proofErr w:type="spellStart"/>
    <w:r w:rsidRPr="00187190">
      <w:rPr>
        <w:rFonts w:ascii="Arial" w:eastAsia="Times New Roman" w:hAnsi="Arial" w:cs="Arial"/>
        <w:iCs/>
        <w:color w:val="000000"/>
        <w:sz w:val="16"/>
        <w:szCs w:val="16"/>
        <w:shd w:val="clear" w:color="auto" w:fill="FFFFFF"/>
      </w:rPr>
      <w:t>Thi</w:t>
    </w:r>
    <w:r w:rsidRPr="00187190">
      <w:rPr>
        <w:rFonts w:ascii="Arial" w:eastAsia="Times New Roman" w:hAnsi="Arial" w:cs="Arial"/>
        <w:iCs/>
        <w:color w:val="000000"/>
        <w:sz w:val="16"/>
        <w:szCs w:val="16"/>
        <w:shd w:val="clear" w:color="auto" w:fill="FFFFFF"/>
      </w:rPr>
      <w:noBreakHyphen/>
      <w:t>Qar</w:t>
    </w:r>
    <w:proofErr w:type="spellEnd"/>
    <w:r w:rsidRPr="00187190">
      <w:rPr>
        <w:rFonts w:ascii="Arial" w:eastAsia="Times New Roman" w:hAnsi="Arial" w:cs="Arial"/>
        <w:iCs/>
        <w:color w:val="000000"/>
        <w:sz w:val="16"/>
        <w:szCs w:val="16"/>
        <w:shd w:val="clear" w:color="auto" w:fill="FFFFFF"/>
      </w:rPr>
      <w:t>, Nasiriyah</w:t>
    </w:r>
  </w:p>
  <w:p w14:paraId="3218F861" w14:textId="77777777" w:rsidR="007D2F34" w:rsidRDefault="00187190" w:rsidP="00187190">
    <w:pPr>
      <w:tabs>
        <w:tab w:val="center" w:pos="4680"/>
        <w:tab w:val="right" w:pos="9360"/>
      </w:tabs>
      <w:autoSpaceDE w:val="0"/>
      <w:autoSpaceDN w:val="0"/>
      <w:adjustRightInd w:val="0"/>
      <w:spacing w:after="0" w:line="240" w:lineRule="auto"/>
      <w:rPr>
        <w:rFonts w:ascii="Arial" w:eastAsia="Times New Roman" w:hAnsi="Arial" w:cs="Arial"/>
        <w:iCs/>
        <w:color w:val="000000"/>
        <w:sz w:val="16"/>
        <w:szCs w:val="16"/>
        <w:shd w:val="clear" w:color="auto" w:fill="FFFFFF"/>
      </w:rPr>
    </w:pPr>
    <w:r w:rsidRPr="00187190">
      <w:rPr>
        <w:rFonts w:ascii="Arial" w:eastAsia="Times New Roman" w:hAnsi="Arial" w:cs="Arial"/>
        <w:iCs/>
        <w:color w:val="000000"/>
        <w:sz w:val="16"/>
        <w:szCs w:val="16"/>
        <w:shd w:val="clear" w:color="auto" w:fill="FFFFFF"/>
      </w:rPr>
      <w:t>Iraq</w:t>
    </w:r>
  </w:p>
  <w:p w14:paraId="2A7E25A0" w14:textId="41BFFAEC" w:rsidR="00187190" w:rsidRPr="004E0A19" w:rsidRDefault="007D2F34" w:rsidP="00187190">
    <w:pPr>
      <w:tabs>
        <w:tab w:val="center" w:pos="4680"/>
        <w:tab w:val="right" w:pos="9360"/>
      </w:tabs>
      <w:autoSpaceDE w:val="0"/>
      <w:autoSpaceDN w:val="0"/>
      <w:adjustRightInd w:val="0"/>
      <w:spacing w:after="0" w:line="240" w:lineRule="auto"/>
      <w:rPr>
        <w:rFonts w:ascii="Arial" w:eastAsia="Times New Roman" w:hAnsi="Arial" w:cs="Arial"/>
        <w:iCs/>
        <w:color w:val="0000FF"/>
        <w:sz w:val="16"/>
        <w:szCs w:val="16"/>
        <w:shd w:val="clear" w:color="auto" w:fill="FFFFFF"/>
      </w:rPr>
    </w:pPr>
    <w:r w:rsidRPr="007D2F34">
      <w:rPr>
        <w:rFonts w:ascii="Arial" w:eastAsia="Times New Roman" w:hAnsi="Arial" w:cs="Arial"/>
        <w:iCs/>
        <w:color w:val="000000"/>
        <w:sz w:val="16"/>
        <w:szCs w:val="16"/>
        <w:shd w:val="clear" w:color="auto" w:fill="FFFFFF"/>
      </w:rPr>
      <w:t>+9647763530111</w:t>
    </w:r>
    <w:r>
      <w:rPr>
        <w:rFonts w:ascii="Arial" w:eastAsia="Times New Roman" w:hAnsi="Arial" w:cs="Arial"/>
        <w:iCs/>
        <w:color w:val="000000"/>
        <w:sz w:val="16"/>
        <w:szCs w:val="16"/>
        <w:shd w:val="clear" w:color="auto" w:fill="FFFFFF"/>
      </w:rPr>
      <w:t xml:space="preserve">; </w:t>
    </w:r>
    <w:hyperlink r:id="rId1" w:history="1">
      <w:r w:rsidR="004E0A19" w:rsidRPr="004E0A19">
        <w:rPr>
          <w:rStyle w:val="Hyperlink"/>
          <w:rFonts w:ascii="Arial" w:eastAsia="Times New Roman" w:hAnsi="Arial" w:cs="Arial"/>
          <w:iCs/>
          <w:color w:val="0000FF"/>
          <w:sz w:val="16"/>
          <w:szCs w:val="16"/>
          <w:shd w:val="clear" w:color="auto" w:fill="FFFFFF"/>
        </w:rPr>
        <w:t>helen.salih@utq.edu.iq</w:t>
      </w:r>
    </w:hyperlink>
  </w:p>
  <w:p w14:paraId="0978C3C5" w14:textId="77777777" w:rsidR="00187190" w:rsidRPr="00EF1A04" w:rsidRDefault="00187190" w:rsidP="00187190">
    <w:pPr>
      <w:tabs>
        <w:tab w:val="center" w:pos="4680"/>
        <w:tab w:val="right" w:pos="9360"/>
      </w:tabs>
      <w:autoSpaceDE w:val="0"/>
      <w:autoSpaceDN w:val="0"/>
      <w:adjustRightInd w:val="0"/>
      <w:spacing w:after="0" w:line="240" w:lineRule="auto"/>
      <w:rPr>
        <w:rFonts w:ascii="Arial" w:eastAsia="Times New Roman" w:hAnsi="Arial" w:cs="Arial"/>
        <w:color w:val="0000FF"/>
        <w:sz w:val="12"/>
        <w:szCs w:val="12"/>
        <w:lang w:val="pt-BR"/>
      </w:rPr>
    </w:pPr>
  </w:p>
  <w:p w14:paraId="78FB2026" w14:textId="037254C3" w:rsidR="00187190" w:rsidRPr="00BC04BD" w:rsidRDefault="00187190" w:rsidP="00187190">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 BUMJ. 2026 Open Access</w:t>
    </w:r>
    <w:r w:rsidR="00116204">
      <w:rPr>
        <w:rFonts w:ascii="Arial" w:eastAsia="Times New Roman" w:hAnsi="Arial" w:cs="Arial"/>
        <w:color w:val="000000"/>
        <w:sz w:val="12"/>
        <w:szCs w:val="12"/>
      </w:rPr>
      <w:t>.</w:t>
    </w:r>
    <w:r w:rsidRPr="00BC04BD">
      <w:rPr>
        <w:rFonts w:ascii="Arial" w:eastAsia="Times New Roman" w:hAnsi="Arial" w:cs="Arial"/>
        <w:color w:val="000000"/>
        <w:sz w:val="12"/>
        <w:szCs w:val="12"/>
      </w:rPr>
      <w:t xml:space="preserve"> This article is distributed under the terms of the Creative Commons Attribution 4.0 International License</w:t>
    </w:r>
  </w:p>
  <w:p w14:paraId="0DC90B0D" w14:textId="577F26AF" w:rsidR="00187190" w:rsidRPr="00187190" w:rsidRDefault="00187190" w:rsidP="00187190">
    <w:pPr>
      <w:tabs>
        <w:tab w:val="center" w:pos="4680"/>
        <w:tab w:val="right" w:pos="9360"/>
      </w:tabs>
      <w:autoSpaceDE w:val="0"/>
      <w:autoSpaceDN w:val="0"/>
      <w:adjustRightInd w:val="0"/>
      <w:spacing w:after="0" w:line="240" w:lineRule="auto"/>
      <w:rPr>
        <w:rFonts w:ascii="Arial" w:eastAsia="Times New Roman" w:hAnsi="Arial" w:cs="Arial"/>
        <w:color w:val="000000"/>
        <w:sz w:val="12"/>
        <w:szCs w:val="12"/>
      </w:rPr>
    </w:pPr>
    <w:r w:rsidRPr="00BC04BD">
      <w:rPr>
        <w:rFonts w:ascii="Arial" w:eastAsia="Times New Roman" w:hAnsi="Arial" w:cs="Arial"/>
        <w:color w:val="000000"/>
        <w:sz w:val="12"/>
        <w:szCs w:val="12"/>
      </w:rPr>
      <w:t>(</w:t>
    </w:r>
    <w:hyperlink r:id="rId2" w:history="1">
      <w:r w:rsidRPr="00BC04BD">
        <w:rPr>
          <w:rFonts w:ascii="Arial" w:eastAsia="Times New Roman" w:hAnsi="Arial" w:cs="Arial"/>
          <w:color w:val="0000FF"/>
          <w:sz w:val="12"/>
          <w:szCs w:val="12"/>
          <w:u w:val="single"/>
        </w:rPr>
        <w:t>http://creativecommons.org/licenses/by/4.0/</w:t>
      </w:r>
    </w:hyperlink>
    <w:r w:rsidRPr="00BC04BD">
      <w:rPr>
        <w:rFonts w:ascii="Arial" w:eastAsia="Times New Roman" w:hAnsi="Arial" w:cs="Arial"/>
        <w:color w:val="000000"/>
        <w:sz w:val="12"/>
        <w:szCs w:val="12"/>
      </w:rPr>
      <w:t>), which permits unrestricted use, distribution, and reproduction in any medium, provided you give appropriate credit to the original author(s) and the source, provide a link to the Creative Commons license, and indicate if changes were made. The Creative Commons Public Domain Dedication waiver (</w:t>
    </w:r>
    <w:hyperlink r:id="rId3" w:history="1">
      <w:r w:rsidRPr="00BC04BD">
        <w:rPr>
          <w:rFonts w:ascii="Arial" w:eastAsia="Times New Roman" w:hAnsi="Arial" w:cs="Arial"/>
          <w:color w:val="0000FF"/>
          <w:sz w:val="12"/>
          <w:szCs w:val="12"/>
          <w:u w:val="single"/>
        </w:rPr>
        <w:t>http://creativecommons.org/publicdomain/zero/1.0/</w:t>
      </w:r>
    </w:hyperlink>
    <w:r w:rsidRPr="00BC04BD">
      <w:rPr>
        <w:rFonts w:ascii="Arial" w:eastAsia="Times New Roman" w:hAnsi="Arial" w:cs="Arial"/>
        <w:color w:val="000000"/>
        <w:sz w:val="12"/>
        <w:szCs w:val="12"/>
      </w:rPr>
      <w:t>) applies to the data made available in this article, unless otherwise stated.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3E68E" w14:textId="77777777" w:rsidR="00095B98" w:rsidRDefault="00095B98" w:rsidP="00187190">
      <w:pPr>
        <w:spacing w:after="0" w:line="240" w:lineRule="auto"/>
      </w:pPr>
      <w:r>
        <w:separator/>
      </w:r>
    </w:p>
  </w:footnote>
  <w:footnote w:type="continuationSeparator" w:id="0">
    <w:p w14:paraId="180E462C" w14:textId="77777777" w:rsidR="00095B98" w:rsidRDefault="00095B98" w:rsidP="001871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9FF5D" w14:textId="4A15FA9E" w:rsidR="00187190" w:rsidRPr="00187190" w:rsidRDefault="00187190">
    <w:pPr>
      <w:pStyle w:val="Header"/>
      <w:rPr>
        <w:color w:val="0000FF"/>
      </w:rPr>
    </w:pPr>
    <w:proofErr w:type="spellStart"/>
    <w:r w:rsidRPr="00187190">
      <w:rPr>
        <w:rFonts w:ascii="Arial" w:hAnsi="Arial" w:cs="Arial"/>
        <w:bCs/>
        <w:color w:val="0000FF"/>
        <w:sz w:val="20"/>
        <w:szCs w:val="20"/>
      </w:rPr>
      <w:t>Iqili</w:t>
    </w:r>
    <w:proofErr w:type="spellEnd"/>
    <w:r w:rsidRPr="00187190">
      <w:rPr>
        <w:rFonts w:ascii="Arial" w:hAnsi="Arial" w:cs="Arial"/>
        <w:bCs/>
        <w:color w:val="0000FF"/>
        <w:sz w:val="20"/>
        <w:szCs w:val="20"/>
      </w:rPr>
      <w:t xml:space="preserve"> </w:t>
    </w:r>
    <w:r w:rsidRPr="00187190">
      <w:rPr>
        <w:rFonts w:ascii="Arial" w:hAnsi="Arial" w:cs="Arial"/>
        <w:i/>
        <w:color w:val="0000FF"/>
        <w:sz w:val="20"/>
        <w:szCs w:val="20"/>
      </w:rPr>
      <w:t xml:space="preserve">et. al., </w:t>
    </w:r>
    <w:r w:rsidRPr="00187190">
      <w:rPr>
        <w:rFonts w:ascii="Arial" w:hAnsi="Arial" w:cs="Arial"/>
        <w:color w:val="0000FF"/>
        <w:sz w:val="20"/>
        <w:szCs w:val="20"/>
      </w:rPr>
      <w:t>Babcock Univ. Med. J.2026 9(</w:t>
    </w:r>
    <w:r w:rsidR="009D39EB">
      <w:rPr>
        <w:rFonts w:ascii="Arial" w:hAnsi="Arial" w:cs="Arial"/>
        <w:color w:val="0000FF"/>
        <w:sz w:val="20"/>
        <w:szCs w:val="20"/>
      </w:rPr>
      <w:t>S1</w:t>
    </w:r>
    <w:r w:rsidRPr="00187190">
      <w:rPr>
        <w:rFonts w:ascii="Arial" w:hAnsi="Arial" w:cs="Arial"/>
        <w:color w:val="0000FF"/>
        <w:sz w:val="20"/>
        <w:szCs w:val="20"/>
      </w:rPr>
      <w:t>)</w:t>
    </w:r>
    <w:r w:rsidR="004E0A19">
      <w:rPr>
        <w:rFonts w:ascii="Arial" w:hAnsi="Arial" w:cs="Arial"/>
        <w:color w:val="0000FF"/>
        <w:sz w:val="20"/>
        <w:szCs w:val="20"/>
      </w:rPr>
      <w:t>:11-18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40AB" w14:textId="0DE2F5B6" w:rsidR="00187190" w:rsidRPr="00384349" w:rsidRDefault="00187190" w:rsidP="00187190">
    <w:pPr>
      <w:pStyle w:val="Header"/>
      <w:rPr>
        <w:rFonts w:ascii="Arial" w:hAnsi="Arial" w:cs="Arial"/>
        <w:sz w:val="20"/>
        <w:szCs w:val="20"/>
      </w:rPr>
    </w:pPr>
    <w:bookmarkStart w:id="0" w:name="_Hlk144824038"/>
    <w:bookmarkStart w:id="1" w:name="_Hlk157341737"/>
    <w:bookmarkStart w:id="2" w:name="_Hlk193443673"/>
    <w:bookmarkStart w:id="3" w:name="_Hlk199939334"/>
    <w:bookmarkStart w:id="4" w:name="_Hlk220401145"/>
    <w:proofErr w:type="spellStart"/>
    <w:r>
      <w:rPr>
        <w:rFonts w:ascii="Arial" w:hAnsi="Arial" w:cs="Arial"/>
        <w:bCs/>
        <w:sz w:val="20"/>
        <w:szCs w:val="20"/>
      </w:rPr>
      <w:t>Iqili</w:t>
    </w:r>
    <w:proofErr w:type="spellEnd"/>
    <w:r>
      <w:rPr>
        <w:rFonts w:ascii="Arial" w:hAnsi="Arial" w:cs="Arial"/>
        <w:bCs/>
        <w:sz w:val="20"/>
        <w:szCs w:val="20"/>
      </w:rPr>
      <w:t xml:space="preserve"> </w:t>
    </w:r>
    <w:r w:rsidRPr="00384349">
      <w:rPr>
        <w:rFonts w:ascii="Arial" w:hAnsi="Arial" w:cs="Arial"/>
        <w:i/>
        <w:sz w:val="20"/>
        <w:szCs w:val="20"/>
      </w:rPr>
      <w:t>et</w:t>
    </w:r>
    <w:r>
      <w:rPr>
        <w:rFonts w:ascii="Arial" w:hAnsi="Arial" w:cs="Arial"/>
        <w:i/>
        <w:sz w:val="20"/>
        <w:szCs w:val="20"/>
      </w:rPr>
      <w:t>.</w:t>
    </w:r>
    <w:r w:rsidRPr="00384349">
      <w:rPr>
        <w:rFonts w:ascii="Arial" w:hAnsi="Arial" w:cs="Arial"/>
        <w:i/>
        <w:sz w:val="20"/>
        <w:szCs w:val="20"/>
      </w:rPr>
      <w:t xml:space="preserve"> al., </w:t>
    </w:r>
    <w:r w:rsidRPr="00384349">
      <w:rPr>
        <w:rFonts w:ascii="Arial" w:hAnsi="Arial" w:cs="Arial"/>
        <w:sz w:val="20"/>
        <w:szCs w:val="20"/>
      </w:rPr>
      <w:t>Babcock Univ. Med. J.2026 9(</w:t>
    </w:r>
    <w:r w:rsidR="008B15AE">
      <w:rPr>
        <w:rFonts w:ascii="Arial" w:hAnsi="Arial" w:cs="Arial"/>
        <w:sz w:val="20"/>
        <w:szCs w:val="20"/>
      </w:rPr>
      <w:t>S1</w:t>
    </w:r>
    <w:r w:rsidRPr="00384349">
      <w:rPr>
        <w:rFonts w:ascii="Arial" w:hAnsi="Arial" w:cs="Arial"/>
        <w:sz w:val="20"/>
        <w:szCs w:val="20"/>
      </w:rPr>
      <w:t>)</w:t>
    </w:r>
    <w:bookmarkEnd w:id="0"/>
    <w:bookmarkEnd w:id="1"/>
    <w:bookmarkEnd w:id="2"/>
    <w:r w:rsidR="008B15AE">
      <w:rPr>
        <w:rFonts w:ascii="Arial" w:hAnsi="Arial" w:cs="Arial"/>
        <w:sz w:val="20"/>
        <w:szCs w:val="20"/>
      </w:rPr>
      <w:t>:</w:t>
    </w:r>
    <w:r w:rsidR="004E0A19">
      <w:rPr>
        <w:rFonts w:ascii="Arial" w:hAnsi="Arial" w:cs="Arial"/>
        <w:sz w:val="20"/>
        <w:szCs w:val="20"/>
      </w:rPr>
      <w:t>11-18</w:t>
    </w:r>
    <w:r>
      <w:rPr>
        <w:rFonts w:ascii="Arial" w:hAnsi="Arial" w:cs="Arial"/>
        <w:sz w:val="20"/>
        <w:szCs w:val="20"/>
      </w:rPr>
      <w:t xml:space="preserve">                   </w:t>
    </w:r>
    <w:r w:rsidRPr="00384349">
      <w:rPr>
        <w:rFonts w:ascii="Arial" w:hAnsi="Arial" w:cs="Arial"/>
        <w:sz w:val="20"/>
        <w:szCs w:val="20"/>
      </w:rPr>
      <w:t xml:space="preserve">                          </w:t>
    </w:r>
    <w:r w:rsidRPr="00384349">
      <w:rPr>
        <w:rFonts w:ascii="Arial" w:hAnsi="Arial" w:cs="Arial"/>
        <w:noProof/>
        <w:sz w:val="20"/>
        <w:szCs w:val="20"/>
      </w:rPr>
      <w:drawing>
        <wp:inline distT="0" distB="0" distL="0" distR="0" wp14:anchorId="0AEF1AFD" wp14:editId="11EB215F">
          <wp:extent cx="1295400" cy="438150"/>
          <wp:effectExtent l="0" t="0" r="0" b="0"/>
          <wp:docPr id="971288073" name="Picture 4" descr="Preview of the currently selec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875361" descr="Preview of the currently selected ima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p w14:paraId="1677BF35" w14:textId="06D97567" w:rsidR="00187190" w:rsidRPr="00384349" w:rsidRDefault="008B15AE" w:rsidP="00187190">
    <w:pPr>
      <w:pStyle w:val="Header"/>
      <w:rPr>
        <w:rFonts w:ascii="Arial" w:hAnsi="Arial" w:cs="Arial"/>
        <w:sz w:val="20"/>
        <w:szCs w:val="20"/>
      </w:rPr>
    </w:pPr>
    <w:hyperlink r:id="rId2" w:history="1">
      <w:r w:rsidRPr="008B15AE">
        <w:rPr>
          <w:rStyle w:val="Hyperlink"/>
          <w:rFonts w:ascii="Arial" w:hAnsi="Arial" w:cs="Arial"/>
          <w:color w:val="0000FF"/>
          <w:sz w:val="20"/>
          <w:szCs w:val="20"/>
        </w:rPr>
        <w:t>https://doi.org/10.38029/babcockuniv.med.j..v9iS1.1574</w:t>
      </w:r>
    </w:hyperlink>
    <w:r w:rsidR="00187190" w:rsidRPr="008B15AE">
      <w:rPr>
        <w:rFonts w:ascii="Arial" w:hAnsi="Arial" w:cs="Arial"/>
        <w:color w:val="0000FF"/>
        <w:sz w:val="20"/>
        <w:szCs w:val="20"/>
      </w:rPr>
      <w:t xml:space="preserve"> </w:t>
    </w:r>
    <w:r w:rsidR="00187190" w:rsidRPr="00384349">
      <w:rPr>
        <w:rFonts w:ascii="Arial" w:hAnsi="Arial" w:cs="Arial"/>
        <w:sz w:val="20"/>
        <w:szCs w:val="20"/>
      </w:rPr>
      <w:t xml:space="preserve">                                           </w:t>
    </w:r>
    <w:proofErr w:type="spellStart"/>
    <w:r w:rsidR="00187190" w:rsidRPr="00384349">
      <w:rPr>
        <w:rFonts w:ascii="Arial" w:hAnsi="Arial" w:cs="Arial"/>
        <w:sz w:val="20"/>
        <w:szCs w:val="20"/>
      </w:rPr>
      <w:t>eISSN</w:t>
    </w:r>
    <w:proofErr w:type="spellEnd"/>
    <w:r w:rsidR="00187190" w:rsidRPr="00384349">
      <w:rPr>
        <w:rFonts w:ascii="Arial" w:hAnsi="Arial" w:cs="Arial"/>
        <w:sz w:val="20"/>
        <w:szCs w:val="20"/>
      </w:rPr>
      <w:t>: 2756-4657</w:t>
    </w:r>
    <w:bookmarkEnd w:id="3"/>
    <w:bookmarkEnd w:id="4"/>
  </w:p>
  <w:p w14:paraId="0F9DFE67" w14:textId="7D0D7E29" w:rsidR="00187190" w:rsidRDefault="001871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605F20"/>
    <w:multiLevelType w:val="multilevel"/>
    <w:tmpl w:val="0246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1E53026"/>
    <w:multiLevelType w:val="multilevel"/>
    <w:tmpl w:val="CF522D9A"/>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120100465">
    <w:abstractNumId w:val="0"/>
  </w:num>
  <w:num w:numId="2" w16cid:durableId="19529310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0BE"/>
    <w:rsid w:val="000065B9"/>
    <w:rsid w:val="00017E0B"/>
    <w:rsid w:val="00021F12"/>
    <w:rsid w:val="00053828"/>
    <w:rsid w:val="00062B53"/>
    <w:rsid w:val="0009550F"/>
    <w:rsid w:val="00095B98"/>
    <w:rsid w:val="000A2CC8"/>
    <w:rsid w:val="000B23C3"/>
    <w:rsid w:val="000E2871"/>
    <w:rsid w:val="000E3C11"/>
    <w:rsid w:val="000F3400"/>
    <w:rsid w:val="00116204"/>
    <w:rsid w:val="00120BC3"/>
    <w:rsid w:val="00122F37"/>
    <w:rsid w:val="001304BC"/>
    <w:rsid w:val="00133A34"/>
    <w:rsid w:val="001376B4"/>
    <w:rsid w:val="001814FA"/>
    <w:rsid w:val="00187190"/>
    <w:rsid w:val="001C43D5"/>
    <w:rsid w:val="001C4737"/>
    <w:rsid w:val="00207C21"/>
    <w:rsid w:val="0021495F"/>
    <w:rsid w:val="00253CE7"/>
    <w:rsid w:val="002663F6"/>
    <w:rsid w:val="00283731"/>
    <w:rsid w:val="00286CAC"/>
    <w:rsid w:val="002A5358"/>
    <w:rsid w:val="002A7150"/>
    <w:rsid w:val="002C65CE"/>
    <w:rsid w:val="00304D1B"/>
    <w:rsid w:val="00337BDA"/>
    <w:rsid w:val="003449F3"/>
    <w:rsid w:val="0039368A"/>
    <w:rsid w:val="00395D65"/>
    <w:rsid w:val="003961EF"/>
    <w:rsid w:val="003A2A6E"/>
    <w:rsid w:val="003A5721"/>
    <w:rsid w:val="003B3F94"/>
    <w:rsid w:val="003C762F"/>
    <w:rsid w:val="003F64F5"/>
    <w:rsid w:val="00405309"/>
    <w:rsid w:val="004065FE"/>
    <w:rsid w:val="00412613"/>
    <w:rsid w:val="00420DEF"/>
    <w:rsid w:val="00424E34"/>
    <w:rsid w:val="004315AF"/>
    <w:rsid w:val="0044187E"/>
    <w:rsid w:val="0045783A"/>
    <w:rsid w:val="00486254"/>
    <w:rsid w:val="004903D9"/>
    <w:rsid w:val="00496029"/>
    <w:rsid w:val="004B6BD5"/>
    <w:rsid w:val="004D2B1C"/>
    <w:rsid w:val="004E0781"/>
    <w:rsid w:val="004E0A19"/>
    <w:rsid w:val="004E32C4"/>
    <w:rsid w:val="00501D7E"/>
    <w:rsid w:val="00506759"/>
    <w:rsid w:val="005247A3"/>
    <w:rsid w:val="00542E92"/>
    <w:rsid w:val="005461D2"/>
    <w:rsid w:val="00552730"/>
    <w:rsid w:val="005737A0"/>
    <w:rsid w:val="005A0BB0"/>
    <w:rsid w:val="005B668F"/>
    <w:rsid w:val="00620DA2"/>
    <w:rsid w:val="0064087B"/>
    <w:rsid w:val="006623BB"/>
    <w:rsid w:val="006720BE"/>
    <w:rsid w:val="006876D4"/>
    <w:rsid w:val="006A467F"/>
    <w:rsid w:val="006C533F"/>
    <w:rsid w:val="006D5ADC"/>
    <w:rsid w:val="0075155F"/>
    <w:rsid w:val="00754D55"/>
    <w:rsid w:val="0079173D"/>
    <w:rsid w:val="007B4D13"/>
    <w:rsid w:val="007D2F34"/>
    <w:rsid w:val="007E3271"/>
    <w:rsid w:val="00820257"/>
    <w:rsid w:val="00847404"/>
    <w:rsid w:val="00854310"/>
    <w:rsid w:val="00864DDB"/>
    <w:rsid w:val="00872EB3"/>
    <w:rsid w:val="008809E8"/>
    <w:rsid w:val="008A1F14"/>
    <w:rsid w:val="008B15AE"/>
    <w:rsid w:val="008D0BFA"/>
    <w:rsid w:val="008D760D"/>
    <w:rsid w:val="008E7A6D"/>
    <w:rsid w:val="00901CF5"/>
    <w:rsid w:val="00923C58"/>
    <w:rsid w:val="009D39EB"/>
    <w:rsid w:val="009D5AD6"/>
    <w:rsid w:val="009F22DD"/>
    <w:rsid w:val="00A06861"/>
    <w:rsid w:val="00A840B9"/>
    <w:rsid w:val="00AA6570"/>
    <w:rsid w:val="00AA6887"/>
    <w:rsid w:val="00AC66AC"/>
    <w:rsid w:val="00AE2BAC"/>
    <w:rsid w:val="00AF27E2"/>
    <w:rsid w:val="00B1527D"/>
    <w:rsid w:val="00B37712"/>
    <w:rsid w:val="00B4502B"/>
    <w:rsid w:val="00B56A89"/>
    <w:rsid w:val="00B635C6"/>
    <w:rsid w:val="00B72A2D"/>
    <w:rsid w:val="00B77644"/>
    <w:rsid w:val="00B867CC"/>
    <w:rsid w:val="00BC4837"/>
    <w:rsid w:val="00BC57A3"/>
    <w:rsid w:val="00BD5CCB"/>
    <w:rsid w:val="00C27A04"/>
    <w:rsid w:val="00C6758A"/>
    <w:rsid w:val="00C83662"/>
    <w:rsid w:val="00C84A80"/>
    <w:rsid w:val="00CA1418"/>
    <w:rsid w:val="00CA5FFE"/>
    <w:rsid w:val="00CA634D"/>
    <w:rsid w:val="00CC0896"/>
    <w:rsid w:val="00CE096F"/>
    <w:rsid w:val="00CE2249"/>
    <w:rsid w:val="00D0233C"/>
    <w:rsid w:val="00D04970"/>
    <w:rsid w:val="00D20AB0"/>
    <w:rsid w:val="00D35340"/>
    <w:rsid w:val="00D54987"/>
    <w:rsid w:val="00D57FF5"/>
    <w:rsid w:val="00D825FA"/>
    <w:rsid w:val="00D85296"/>
    <w:rsid w:val="00D8681A"/>
    <w:rsid w:val="00D970DC"/>
    <w:rsid w:val="00DC3F92"/>
    <w:rsid w:val="00DC4053"/>
    <w:rsid w:val="00DD226F"/>
    <w:rsid w:val="00E06D91"/>
    <w:rsid w:val="00E06FD6"/>
    <w:rsid w:val="00E27B7F"/>
    <w:rsid w:val="00E631B6"/>
    <w:rsid w:val="00E958E8"/>
    <w:rsid w:val="00EA4734"/>
    <w:rsid w:val="00EA62C2"/>
    <w:rsid w:val="00EF4E3D"/>
    <w:rsid w:val="00EF5307"/>
    <w:rsid w:val="00F01E49"/>
    <w:rsid w:val="00F23095"/>
    <w:rsid w:val="00F25B57"/>
    <w:rsid w:val="00F265FF"/>
    <w:rsid w:val="00F555E7"/>
    <w:rsid w:val="00F65BBF"/>
    <w:rsid w:val="00F74DFE"/>
    <w:rsid w:val="00FB0763"/>
    <w:rsid w:val="00FB78F8"/>
    <w:rsid w:val="00FC23D9"/>
    <w:rsid w:val="00FD57D1"/>
    <w:rsid w:val="00FE1673"/>
    <w:rsid w:val="00FE172A"/>
    <w:rsid w:val="00FE62EC"/>
    <w:rsid w:val="00FF2EED"/>
    <w:rsid w:val="00FF3F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098DA4"/>
  <w15:chartTrackingRefBased/>
  <w15:docId w15:val="{F093BF51-4BD7-4305-AD11-36E43CF0C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20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20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20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20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20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20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20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20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20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20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20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20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20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20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20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20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20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20BE"/>
    <w:rPr>
      <w:rFonts w:eastAsiaTheme="majorEastAsia" w:cstheme="majorBidi"/>
      <w:color w:val="272727" w:themeColor="text1" w:themeTint="D8"/>
    </w:rPr>
  </w:style>
  <w:style w:type="paragraph" w:styleId="Title">
    <w:name w:val="Title"/>
    <w:basedOn w:val="Normal"/>
    <w:next w:val="Normal"/>
    <w:link w:val="TitleChar"/>
    <w:uiPriority w:val="10"/>
    <w:qFormat/>
    <w:rsid w:val="006720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20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20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20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20BE"/>
    <w:pPr>
      <w:spacing w:before="160"/>
      <w:jc w:val="center"/>
    </w:pPr>
    <w:rPr>
      <w:i/>
      <w:iCs/>
      <w:color w:val="404040" w:themeColor="text1" w:themeTint="BF"/>
    </w:rPr>
  </w:style>
  <w:style w:type="character" w:customStyle="1" w:styleId="QuoteChar">
    <w:name w:val="Quote Char"/>
    <w:basedOn w:val="DefaultParagraphFont"/>
    <w:link w:val="Quote"/>
    <w:uiPriority w:val="29"/>
    <w:rsid w:val="006720BE"/>
    <w:rPr>
      <w:i/>
      <w:iCs/>
      <w:color w:val="404040" w:themeColor="text1" w:themeTint="BF"/>
    </w:rPr>
  </w:style>
  <w:style w:type="paragraph" w:styleId="ListParagraph">
    <w:name w:val="List Paragraph"/>
    <w:basedOn w:val="Normal"/>
    <w:uiPriority w:val="34"/>
    <w:qFormat/>
    <w:rsid w:val="006720BE"/>
    <w:pPr>
      <w:ind w:left="720"/>
      <w:contextualSpacing/>
    </w:pPr>
  </w:style>
  <w:style w:type="character" w:styleId="IntenseEmphasis">
    <w:name w:val="Intense Emphasis"/>
    <w:basedOn w:val="DefaultParagraphFont"/>
    <w:uiPriority w:val="21"/>
    <w:qFormat/>
    <w:rsid w:val="006720BE"/>
    <w:rPr>
      <w:i/>
      <w:iCs/>
      <w:color w:val="0F4761" w:themeColor="accent1" w:themeShade="BF"/>
    </w:rPr>
  </w:style>
  <w:style w:type="paragraph" w:styleId="IntenseQuote">
    <w:name w:val="Intense Quote"/>
    <w:basedOn w:val="Normal"/>
    <w:next w:val="Normal"/>
    <w:link w:val="IntenseQuoteChar"/>
    <w:uiPriority w:val="30"/>
    <w:qFormat/>
    <w:rsid w:val="006720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20BE"/>
    <w:rPr>
      <w:i/>
      <w:iCs/>
      <w:color w:val="0F4761" w:themeColor="accent1" w:themeShade="BF"/>
    </w:rPr>
  </w:style>
  <w:style w:type="character" w:styleId="IntenseReference">
    <w:name w:val="Intense Reference"/>
    <w:basedOn w:val="DefaultParagraphFont"/>
    <w:uiPriority w:val="32"/>
    <w:qFormat/>
    <w:rsid w:val="006720BE"/>
    <w:rPr>
      <w:b/>
      <w:bCs/>
      <w:smallCaps/>
      <w:color w:val="0F4761" w:themeColor="accent1" w:themeShade="BF"/>
      <w:spacing w:val="5"/>
    </w:rPr>
  </w:style>
  <w:style w:type="character" w:styleId="Hyperlink">
    <w:name w:val="Hyperlink"/>
    <w:basedOn w:val="DefaultParagraphFont"/>
    <w:uiPriority w:val="99"/>
    <w:unhideWhenUsed/>
    <w:rsid w:val="00122F37"/>
    <w:rPr>
      <w:color w:val="467886" w:themeColor="hyperlink"/>
      <w:u w:val="single"/>
    </w:rPr>
  </w:style>
  <w:style w:type="character" w:styleId="UnresolvedMention">
    <w:name w:val="Unresolved Mention"/>
    <w:basedOn w:val="DefaultParagraphFont"/>
    <w:uiPriority w:val="99"/>
    <w:semiHidden/>
    <w:unhideWhenUsed/>
    <w:rsid w:val="00122F37"/>
    <w:rPr>
      <w:color w:val="605E5C"/>
      <w:shd w:val="clear" w:color="auto" w:fill="E1DFDD"/>
    </w:rPr>
  </w:style>
  <w:style w:type="paragraph" w:styleId="Header">
    <w:name w:val="header"/>
    <w:basedOn w:val="Normal"/>
    <w:link w:val="HeaderChar"/>
    <w:uiPriority w:val="99"/>
    <w:unhideWhenUsed/>
    <w:rsid w:val="00187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7190"/>
  </w:style>
  <w:style w:type="paragraph" w:styleId="Footer">
    <w:name w:val="footer"/>
    <w:basedOn w:val="Normal"/>
    <w:link w:val="FooterChar"/>
    <w:uiPriority w:val="99"/>
    <w:unhideWhenUsed/>
    <w:rsid w:val="00187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7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9-0006-4732-6595" TargetMode="External"/><Relationship Id="rId13" Type="http://schemas.openxmlformats.org/officeDocument/2006/relationships/hyperlink" Target="https://doi.org/10.1080/20473869.2025.2452858" TargetMode="External"/><Relationship Id="rId18" Type="http://schemas.openxmlformats.org/officeDocument/2006/relationships/hyperlink" Target="https://doi.org/10.3390/jpm11080710" TargetMode="External"/><Relationship Id="rId26" Type="http://schemas.openxmlformats.org/officeDocument/2006/relationships/hyperlink" Target="https://doi.org/10.1371/journal.pone.0334852" TargetMode="External"/><Relationship Id="rId3" Type="http://schemas.openxmlformats.org/officeDocument/2006/relationships/settings" Target="settings.xml"/><Relationship Id="rId21" Type="http://schemas.openxmlformats.org/officeDocument/2006/relationships/hyperlink" Target="https://doi.org/10.3390/nu14010026" TargetMode="Externa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yperlink" Target="https://doi.org/10.3390/jpm11111141" TargetMode="External"/><Relationship Id="rId25" Type="http://schemas.openxmlformats.org/officeDocument/2006/relationships/hyperlink" Target="https://doi.org/10.3390/medsci11040073" TargetMode="External"/><Relationship Id="rId2" Type="http://schemas.openxmlformats.org/officeDocument/2006/relationships/styles" Target="styles.xml"/><Relationship Id="rId16" Type="http://schemas.openxmlformats.org/officeDocument/2006/relationships/hyperlink" Target="https://doi.org/10.1089/jmf.2023.0180" TargetMode="External"/><Relationship Id="rId20" Type="http://schemas.openxmlformats.org/officeDocument/2006/relationships/hyperlink" Target="https://doi.org/10.1038/s41398-020-01135-3" TargetMode="External"/><Relationship Id="rId29" Type="http://schemas.openxmlformats.org/officeDocument/2006/relationships/hyperlink" Target="https://doi.org/10.3389/fnins.2025.15878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hyperlink" Target="https://doi.org/10.1038/mp.2016.168"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02/aur.2696" TargetMode="External"/><Relationship Id="rId23" Type="http://schemas.openxmlformats.org/officeDocument/2006/relationships/hyperlink" Target="https://doi.org/10.3390/ijms26178293" TargetMode="External"/><Relationship Id="rId28" Type="http://schemas.openxmlformats.org/officeDocument/2006/relationships/hyperlink" Target="https://doi.org/10.1038/s41398-020-00876-5" TargetMode="External"/><Relationship Id="rId10" Type="http://schemas.openxmlformats.org/officeDocument/2006/relationships/footer" Target="footer1.xml"/><Relationship Id="rId19" Type="http://schemas.openxmlformats.org/officeDocument/2006/relationships/hyperlink" Target="https://doi.org/10.1111/j.1469-8749.2008.02053.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doi.org/10.1542/peds.2019-3447" TargetMode="External"/><Relationship Id="rId22" Type="http://schemas.openxmlformats.org/officeDocument/2006/relationships/hyperlink" Target="https://doi.org/10.2310/JIM.0b013e31821b8755" TargetMode="External"/><Relationship Id="rId27" Type="http://schemas.openxmlformats.org/officeDocument/2006/relationships/hyperlink" Target="https://doi.org/10.1192/bjo.2021.114" TargetMode="External"/><Relationship Id="rId30" Type="http://schemas.openxmlformats.org/officeDocument/2006/relationships/hyperlink" Target="https://doi.org/10.38029/babcockuniv.med.j..v8i2.1074"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publicdomain/zero/1.0/" TargetMode="External"/><Relationship Id="rId2" Type="http://schemas.openxmlformats.org/officeDocument/2006/relationships/hyperlink" Target="http://creativecommons.org/licenses/by/4.0/" TargetMode="External"/><Relationship Id="rId1" Type="http://schemas.openxmlformats.org/officeDocument/2006/relationships/hyperlink" Target="mailto:helen.salih@utq.edu.iq"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s://doi.org/10.38029/babcockuniv.med.j..v9iS1.1574"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4495</Words>
  <Characters>25625</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Olumide Abiodun</dc:creator>
  <cp:keywords/>
  <dc:description/>
  <cp:lastModifiedBy>HomePC</cp:lastModifiedBy>
  <cp:revision>2</cp:revision>
  <dcterms:created xsi:type="dcterms:W3CDTF">2026-07-22T06:51:00Z</dcterms:created>
  <dcterms:modified xsi:type="dcterms:W3CDTF">2026-07-22T06:51:00Z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268e4062-f421-4413-b610-1ac7b113887b</vt:lpwstr>
  </property>
</Properties>
</file>