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0DB47" w14:textId="2FD003C7" w:rsidR="006C191A" w:rsidRDefault="00306D1F"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1239BE">
        <w:rPr>
          <w:noProof/>
        </w:rPr>
        <w:drawing>
          <wp:inline distT="0" distB="0" distL="0" distR="0" wp14:anchorId="5A2DB173" wp14:editId="234B999F">
            <wp:extent cx="5731510" cy="248285"/>
            <wp:effectExtent l="0" t="0" r="2540" b="0"/>
            <wp:docPr id="1657478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48285"/>
                    </a:xfrm>
                    <a:prstGeom prst="rect">
                      <a:avLst/>
                    </a:prstGeom>
                    <a:noFill/>
                  </pic:spPr>
                </pic:pic>
              </a:graphicData>
            </a:graphic>
          </wp:inline>
        </w:drawing>
      </w:r>
    </w:p>
    <w:p w14:paraId="28C8CA26" w14:textId="29F5A620" w:rsidR="006C191A" w:rsidRPr="006C191A" w:rsidRDefault="00792486" w:rsidP="006C191A">
      <w:pPr>
        <w:shd w:val="clear" w:color="auto" w:fill="FFFFFF"/>
        <w:spacing w:after="0" w:line="240" w:lineRule="auto"/>
        <w:rPr>
          <w:rFonts w:ascii="Arial" w:eastAsia="Times New Roman" w:hAnsi="Arial" w:cs="Arial"/>
          <w:color w:val="0F1115"/>
          <w:kern w:val="0"/>
          <w:sz w:val="44"/>
          <w:szCs w:val="44"/>
          <w:lang w:eastAsia="en-GB"/>
          <w14:ligatures w14:val="none"/>
        </w:rPr>
      </w:pPr>
      <w:r>
        <w:rPr>
          <w:rFonts w:ascii="Arial" w:eastAsia="Times New Roman" w:hAnsi="Arial" w:cs="Arial"/>
          <w:color w:val="0F1115"/>
          <w:kern w:val="0"/>
          <w:sz w:val="44"/>
          <w:szCs w:val="44"/>
          <w:lang w:eastAsia="en-GB"/>
          <w14:ligatures w14:val="none"/>
        </w:rPr>
        <w:t>Evaluation</w:t>
      </w:r>
      <w:r w:rsidRPr="006C191A">
        <w:rPr>
          <w:rFonts w:ascii="Arial" w:eastAsia="Times New Roman" w:hAnsi="Arial" w:cs="Arial"/>
          <w:color w:val="0F1115"/>
          <w:kern w:val="0"/>
          <w:sz w:val="44"/>
          <w:szCs w:val="44"/>
          <w:lang w:eastAsia="en-GB"/>
          <w14:ligatures w14:val="none"/>
        </w:rPr>
        <w:t xml:space="preserve"> of serum dipeptidyl-peptidase-like protein 6 (dppx) levels in patients with epilepsy: a case</w:t>
      </w:r>
      <w:r w:rsidRPr="006C191A">
        <w:rPr>
          <w:rFonts w:ascii="Arial" w:eastAsia="Times New Roman" w:hAnsi="Arial" w:cs="Arial"/>
          <w:color w:val="0F1115"/>
          <w:kern w:val="0"/>
          <w:sz w:val="44"/>
          <w:szCs w:val="44"/>
          <w:lang w:eastAsia="en-GB"/>
          <w14:ligatures w14:val="none"/>
        </w:rPr>
        <w:noBreakHyphen/>
        <w:t xml:space="preserve">control study from </w:t>
      </w:r>
      <w:r>
        <w:rPr>
          <w:rFonts w:ascii="Arial" w:eastAsia="Times New Roman" w:hAnsi="Arial" w:cs="Arial"/>
          <w:color w:val="0F1115"/>
          <w:kern w:val="0"/>
          <w:sz w:val="44"/>
          <w:szCs w:val="44"/>
          <w:lang w:eastAsia="en-GB"/>
          <w14:ligatures w14:val="none"/>
        </w:rPr>
        <w:t>Al Diwaniyah</w:t>
      </w:r>
      <w:r w:rsidRPr="006C191A">
        <w:rPr>
          <w:rFonts w:ascii="Arial" w:eastAsia="Times New Roman" w:hAnsi="Arial" w:cs="Arial"/>
          <w:color w:val="0F1115"/>
          <w:kern w:val="0"/>
          <w:sz w:val="44"/>
          <w:szCs w:val="44"/>
          <w:lang w:eastAsia="en-GB"/>
          <w14:ligatures w14:val="none"/>
        </w:rPr>
        <w:t xml:space="preserve"> governorate, </w:t>
      </w:r>
      <w:r>
        <w:rPr>
          <w:rFonts w:ascii="Arial" w:eastAsia="Times New Roman" w:hAnsi="Arial" w:cs="Arial"/>
          <w:color w:val="0F1115"/>
          <w:kern w:val="0"/>
          <w:sz w:val="44"/>
          <w:szCs w:val="44"/>
          <w:lang w:eastAsia="en-GB"/>
          <w14:ligatures w14:val="none"/>
        </w:rPr>
        <w:t>Iraq</w:t>
      </w:r>
    </w:p>
    <w:p w14:paraId="39FFC94E" w14:textId="55717BAF" w:rsidR="006C191A" w:rsidRPr="00792486" w:rsidRDefault="006C191A" w:rsidP="006C191A">
      <w:pPr>
        <w:shd w:val="clear" w:color="auto" w:fill="FFFFFF"/>
        <w:spacing w:after="0" w:line="240" w:lineRule="auto"/>
        <w:jc w:val="both"/>
        <w:rPr>
          <w:rFonts w:ascii="Arial" w:eastAsia="Times New Roman" w:hAnsi="Arial" w:cs="Arial"/>
          <w:color w:val="0F1115"/>
          <w:kern w:val="0"/>
          <w:vertAlign w:val="superscript"/>
          <w:lang w:eastAsia="en-GB"/>
          <w14:ligatures w14:val="none"/>
        </w:rPr>
      </w:pPr>
      <w:r w:rsidRPr="00461487">
        <w:rPr>
          <w:rFonts w:ascii="Arial" w:eastAsia="Times New Roman" w:hAnsi="Arial" w:cs="Arial"/>
          <w:color w:val="0F1115"/>
          <w:kern w:val="0"/>
          <w:lang w:eastAsia="en-GB"/>
          <w14:ligatures w14:val="none"/>
        </w:rPr>
        <w:t>Hussein AK</w:t>
      </w:r>
      <w:r w:rsidR="00792486">
        <w:rPr>
          <w:rFonts w:ascii="Arial" w:eastAsia="Times New Roman" w:hAnsi="Arial" w:cs="Arial"/>
          <w:color w:val="0F1115"/>
          <w:kern w:val="0"/>
          <w:vertAlign w:val="superscript"/>
          <w:lang w:eastAsia="en-GB"/>
          <w14:ligatures w14:val="none"/>
        </w:rPr>
        <w:t>1</w:t>
      </w:r>
      <w:r w:rsidRPr="00461487">
        <w:rPr>
          <w:rFonts w:ascii="Arial" w:eastAsia="Times New Roman" w:hAnsi="Arial" w:cs="Arial"/>
          <w:color w:val="0F1115"/>
          <w:kern w:val="0"/>
          <w:lang w:eastAsia="en-GB"/>
          <w14:ligatures w14:val="none"/>
        </w:rPr>
        <w:t>, Hassan</w:t>
      </w:r>
      <w:r w:rsidR="00461487" w:rsidRPr="00461487">
        <w:rPr>
          <w:rFonts w:ascii="Arial" w:eastAsia="Times New Roman" w:hAnsi="Arial" w:cs="Arial"/>
          <w:color w:val="0F1115"/>
          <w:kern w:val="0"/>
          <w:lang w:eastAsia="en-GB"/>
          <w14:ligatures w14:val="none"/>
        </w:rPr>
        <w:t xml:space="preserve"> SH</w:t>
      </w:r>
      <w:r w:rsidR="00792486">
        <w:rPr>
          <w:rFonts w:ascii="Arial" w:eastAsia="Times New Roman" w:hAnsi="Arial" w:cs="Arial"/>
          <w:color w:val="0F1115"/>
          <w:kern w:val="0"/>
          <w:vertAlign w:val="superscript"/>
          <w:lang w:eastAsia="en-GB"/>
          <w14:ligatures w14:val="none"/>
        </w:rPr>
        <w:t>2</w:t>
      </w:r>
    </w:p>
    <w:p w14:paraId="3BA5F025" w14:textId="5ACE663D" w:rsidR="00461487" w:rsidRPr="00461487" w:rsidRDefault="006C191A" w:rsidP="00461487">
      <w:pPr>
        <w:shd w:val="clear" w:color="auto" w:fill="FFFFFF"/>
        <w:spacing w:after="0" w:line="240" w:lineRule="auto"/>
        <w:rPr>
          <w:rFonts w:ascii="Arial" w:eastAsia="Times New Roman" w:hAnsi="Arial" w:cs="Arial"/>
          <w:i/>
          <w:iCs/>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br/>
      </w:r>
      <w:r w:rsidR="00792486">
        <w:rPr>
          <w:rFonts w:ascii="Arial" w:eastAsia="Times New Roman" w:hAnsi="Arial" w:cs="Arial"/>
          <w:i/>
          <w:iCs/>
          <w:color w:val="0F1115"/>
          <w:kern w:val="0"/>
          <w:sz w:val="20"/>
          <w:szCs w:val="20"/>
          <w:vertAlign w:val="superscript"/>
          <w:lang w:eastAsia="en-GB"/>
          <w14:ligatures w14:val="none"/>
        </w:rPr>
        <w:t>1</w:t>
      </w:r>
      <w:r w:rsidRPr="00461487">
        <w:rPr>
          <w:rFonts w:ascii="Arial" w:eastAsia="Times New Roman" w:hAnsi="Arial" w:cs="Arial"/>
          <w:i/>
          <w:iCs/>
          <w:color w:val="0F1115"/>
          <w:kern w:val="0"/>
          <w:sz w:val="20"/>
          <w:szCs w:val="20"/>
          <w:lang w:eastAsia="en-GB"/>
          <w14:ligatures w14:val="none"/>
        </w:rPr>
        <w:t>Ministry of Health – Al</w:t>
      </w:r>
      <w:r w:rsidRPr="00461487">
        <w:rPr>
          <w:rFonts w:ascii="Arial" w:eastAsia="Times New Roman" w:hAnsi="Arial" w:cs="Arial"/>
          <w:i/>
          <w:iCs/>
          <w:color w:val="0F1115"/>
          <w:kern w:val="0"/>
          <w:sz w:val="20"/>
          <w:szCs w:val="20"/>
          <w:lang w:eastAsia="en-GB"/>
          <w14:ligatures w14:val="none"/>
        </w:rPr>
        <w:noBreakHyphen/>
        <w:t>Diwaniyah, Al</w:t>
      </w:r>
      <w:r w:rsidRPr="00461487">
        <w:rPr>
          <w:rFonts w:ascii="Arial" w:eastAsia="Times New Roman" w:hAnsi="Arial" w:cs="Arial"/>
          <w:i/>
          <w:iCs/>
          <w:color w:val="0F1115"/>
          <w:kern w:val="0"/>
          <w:sz w:val="20"/>
          <w:szCs w:val="20"/>
          <w:lang w:eastAsia="en-GB"/>
          <w14:ligatures w14:val="none"/>
        </w:rPr>
        <w:noBreakHyphen/>
        <w:t>Diwaniyah, Iraq</w:t>
      </w:r>
    </w:p>
    <w:p w14:paraId="24DA8357" w14:textId="7EA3FBF3" w:rsidR="006C191A" w:rsidRDefault="00792486" w:rsidP="00461487">
      <w:pPr>
        <w:shd w:val="clear" w:color="auto" w:fill="FFFFFF"/>
        <w:spacing w:after="0" w:line="240" w:lineRule="auto"/>
        <w:rPr>
          <w:rFonts w:ascii="Arial" w:eastAsia="Times New Roman" w:hAnsi="Arial" w:cs="Arial"/>
          <w:color w:val="0F1115"/>
          <w:kern w:val="0"/>
          <w:sz w:val="20"/>
          <w:szCs w:val="20"/>
          <w:lang w:eastAsia="en-GB"/>
          <w14:ligatures w14:val="none"/>
        </w:rPr>
      </w:pPr>
      <w:r>
        <w:rPr>
          <w:rFonts w:ascii="Arial" w:eastAsia="Times New Roman" w:hAnsi="Arial" w:cs="Arial"/>
          <w:i/>
          <w:iCs/>
          <w:color w:val="0F1115"/>
          <w:kern w:val="0"/>
          <w:sz w:val="20"/>
          <w:szCs w:val="20"/>
          <w:vertAlign w:val="superscript"/>
          <w:lang w:eastAsia="en-GB"/>
          <w14:ligatures w14:val="none"/>
        </w:rPr>
        <w:t>2</w:t>
      </w:r>
      <w:r w:rsidR="006C191A" w:rsidRPr="00461487">
        <w:rPr>
          <w:rFonts w:ascii="Arial" w:eastAsia="Times New Roman" w:hAnsi="Arial" w:cs="Arial"/>
          <w:i/>
          <w:iCs/>
          <w:color w:val="0F1115"/>
          <w:kern w:val="0"/>
          <w:sz w:val="20"/>
          <w:szCs w:val="20"/>
          <w:lang w:eastAsia="en-GB"/>
          <w14:ligatures w14:val="none"/>
        </w:rPr>
        <w:t>Al</w:t>
      </w:r>
      <w:r w:rsidR="006C191A" w:rsidRPr="00461487">
        <w:rPr>
          <w:rFonts w:ascii="Arial" w:eastAsia="Times New Roman" w:hAnsi="Arial" w:cs="Arial"/>
          <w:i/>
          <w:iCs/>
          <w:color w:val="0F1115"/>
          <w:kern w:val="0"/>
          <w:sz w:val="20"/>
          <w:szCs w:val="20"/>
          <w:lang w:eastAsia="en-GB"/>
          <w14:ligatures w14:val="none"/>
        </w:rPr>
        <w:noBreakHyphen/>
        <w:t>Furat Al</w:t>
      </w:r>
      <w:r w:rsidR="006C191A" w:rsidRPr="00461487">
        <w:rPr>
          <w:rFonts w:ascii="Arial" w:eastAsia="Times New Roman" w:hAnsi="Arial" w:cs="Arial"/>
          <w:i/>
          <w:iCs/>
          <w:color w:val="0F1115"/>
          <w:kern w:val="0"/>
          <w:sz w:val="20"/>
          <w:szCs w:val="20"/>
          <w:lang w:eastAsia="en-GB"/>
          <w14:ligatures w14:val="none"/>
        </w:rPr>
        <w:noBreakHyphen/>
        <w:t>Awsat Technical University, Kufa, Iraq</w:t>
      </w:r>
    </w:p>
    <w:p w14:paraId="2B70FF6D" w14:textId="77777777" w:rsidR="00461487" w:rsidRPr="006C191A" w:rsidRDefault="00461487"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88C2EBF" w14:textId="1507E839" w:rsidR="002402DB" w:rsidRPr="004E7B52" w:rsidRDefault="002402DB" w:rsidP="002402DB">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Submitted: </w:t>
      </w:r>
      <w:r>
        <w:rPr>
          <w:rFonts w:ascii="Arial" w:eastAsia="SimSun" w:hAnsi="Arial" w:cs="Arial"/>
          <w:i/>
          <w:iCs/>
          <w:color w:val="000000"/>
          <w:sz w:val="16"/>
          <w:szCs w:val="16"/>
        </w:rPr>
        <w:t>13</w:t>
      </w:r>
      <w:r w:rsidRPr="00387799">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w:t>
      </w:r>
      <w:r w:rsidR="00866780">
        <w:rPr>
          <w:rFonts w:ascii="Arial" w:eastAsia="SimSun" w:hAnsi="Arial" w:cs="Arial"/>
          <w:i/>
          <w:iCs/>
          <w:color w:val="000000"/>
          <w:sz w:val="16"/>
          <w:szCs w:val="16"/>
        </w:rPr>
        <w:t>April</w:t>
      </w:r>
      <w:r>
        <w:rPr>
          <w:rFonts w:ascii="Arial" w:eastAsia="SimSun" w:hAnsi="Arial" w:cs="Arial"/>
          <w:i/>
          <w:iCs/>
          <w:color w:val="000000"/>
          <w:sz w:val="16"/>
          <w:szCs w:val="16"/>
        </w:rPr>
        <w:t xml:space="preserve"> </w:t>
      </w:r>
      <w:r w:rsidRPr="004E7B52">
        <w:rPr>
          <w:rFonts w:ascii="Arial" w:eastAsia="SimSun" w:hAnsi="Arial" w:cs="Arial"/>
          <w:i/>
          <w:iCs/>
          <w:color w:val="000000"/>
          <w:sz w:val="16"/>
          <w:szCs w:val="16"/>
        </w:rPr>
        <w:t>2026</w:t>
      </w:r>
    </w:p>
    <w:p w14:paraId="74EA313F" w14:textId="3A3D02D5" w:rsidR="002402DB" w:rsidRPr="004E7B52" w:rsidRDefault="002402DB" w:rsidP="002402DB">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Accepted: </w:t>
      </w:r>
      <w:r>
        <w:rPr>
          <w:rFonts w:ascii="Arial" w:eastAsia="SimSun" w:hAnsi="Arial" w:cs="Arial"/>
          <w:i/>
          <w:iCs/>
          <w:color w:val="000000"/>
          <w:sz w:val="16"/>
          <w:szCs w:val="16"/>
        </w:rPr>
        <w:t>16</w:t>
      </w:r>
      <w:r w:rsidRPr="004E7B52">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May </w:t>
      </w:r>
      <w:r w:rsidRPr="004E7B52">
        <w:rPr>
          <w:rFonts w:ascii="Arial" w:eastAsia="SimSun" w:hAnsi="Arial" w:cs="Arial"/>
          <w:i/>
          <w:iCs/>
          <w:color w:val="000000"/>
          <w:sz w:val="16"/>
          <w:szCs w:val="16"/>
        </w:rPr>
        <w:t>2026</w:t>
      </w:r>
    </w:p>
    <w:p w14:paraId="57703240" w14:textId="5A7FB57C" w:rsidR="002402DB" w:rsidRPr="004E7B52" w:rsidRDefault="002402DB" w:rsidP="002402DB">
      <w:pPr>
        <w:autoSpaceDE w:val="0"/>
        <w:autoSpaceDN w:val="0"/>
        <w:adjustRightInd w:val="0"/>
        <w:spacing w:after="0" w:line="240" w:lineRule="auto"/>
        <w:jc w:val="both"/>
        <w:rPr>
          <w:rFonts w:ascii="Arial" w:eastAsia="SimSun" w:hAnsi="Arial" w:cs="Arial"/>
          <w:i/>
          <w:iCs/>
          <w:color w:val="000000"/>
          <w:sz w:val="16"/>
          <w:szCs w:val="16"/>
        </w:rPr>
      </w:pPr>
      <w:r w:rsidRPr="004E7B52">
        <w:rPr>
          <w:rFonts w:ascii="Arial" w:eastAsia="SimSun" w:hAnsi="Arial" w:cs="Arial"/>
          <w:i/>
          <w:iCs/>
          <w:color w:val="000000"/>
          <w:sz w:val="16"/>
          <w:szCs w:val="16"/>
        </w:rPr>
        <w:t>Published: 3</w:t>
      </w:r>
      <w:r w:rsidR="00FD3541">
        <w:rPr>
          <w:rFonts w:ascii="Arial" w:eastAsia="SimSun" w:hAnsi="Arial" w:cs="Arial"/>
          <w:i/>
          <w:iCs/>
          <w:color w:val="000000"/>
          <w:sz w:val="16"/>
          <w:szCs w:val="16"/>
        </w:rPr>
        <w:t>1</w:t>
      </w:r>
      <w:r w:rsidR="00FD3541" w:rsidRPr="00FD3541">
        <w:rPr>
          <w:rFonts w:ascii="Arial" w:eastAsia="SimSun" w:hAnsi="Arial" w:cs="Arial"/>
          <w:i/>
          <w:iCs/>
          <w:color w:val="000000"/>
          <w:sz w:val="16"/>
          <w:szCs w:val="16"/>
          <w:vertAlign w:val="superscript"/>
        </w:rPr>
        <w:t>st</w:t>
      </w:r>
      <w:r w:rsidR="00FD3541">
        <w:rPr>
          <w:rFonts w:ascii="Arial" w:eastAsia="SimSun" w:hAnsi="Arial" w:cs="Arial"/>
          <w:i/>
          <w:iCs/>
          <w:color w:val="000000"/>
          <w:sz w:val="16"/>
          <w:szCs w:val="16"/>
        </w:rPr>
        <w:t xml:space="preserve"> Octo</w:t>
      </w:r>
      <w:r w:rsidRPr="004E7B52">
        <w:rPr>
          <w:rFonts w:ascii="Arial" w:eastAsia="SimSun" w:hAnsi="Arial" w:cs="Arial"/>
          <w:i/>
          <w:iCs/>
          <w:color w:val="000000"/>
          <w:sz w:val="16"/>
          <w:szCs w:val="16"/>
        </w:rPr>
        <w:t>ber 2026</w:t>
      </w:r>
    </w:p>
    <w:p w14:paraId="06449E8A" w14:textId="77777777" w:rsidR="002402DB" w:rsidRPr="00E968EA" w:rsidRDefault="002402DB" w:rsidP="002402DB">
      <w:pPr>
        <w:spacing w:after="0" w:line="240" w:lineRule="auto"/>
        <w:jc w:val="both"/>
        <w:rPr>
          <w:rFonts w:ascii="Arial" w:eastAsia="Calibri" w:hAnsi="Arial" w:cs="Arial"/>
          <w:kern w:val="0"/>
          <w:sz w:val="20"/>
          <w:szCs w:val="20"/>
          <w14:ligatures w14:val="none"/>
        </w:rPr>
      </w:pPr>
      <w:r w:rsidRPr="004E7B52">
        <w:rPr>
          <w:rFonts w:ascii="Arial" w:eastAsia="Calibri" w:hAnsi="Arial" w:cs="Arial"/>
          <w:color w:val="0000FF"/>
          <w:kern w:val="0"/>
          <w:sz w:val="20"/>
          <w:szCs w:val="20"/>
          <w:u w:val="single"/>
          <w14:ligatures w14:val="none"/>
        </w:rPr>
        <w:t>ID</w:t>
      </w:r>
      <w:r w:rsidRPr="004E7B52">
        <w:rPr>
          <w:rFonts w:ascii="Arial" w:eastAsia="Calibri" w:hAnsi="Arial" w:cs="Arial"/>
          <w:kern w:val="0"/>
          <w:sz w:val="20"/>
          <w:szCs w:val="20"/>
          <w14:ligatures w14:val="none"/>
        </w:rPr>
        <w:t>: Orcid ID</w:t>
      </w:r>
    </w:p>
    <w:p w14:paraId="4540D57B" w14:textId="61660152" w:rsidR="006C191A" w:rsidRDefault="00F903CF" w:rsidP="006C191A">
      <w:pPr>
        <w:spacing w:after="0" w:line="240" w:lineRule="auto"/>
        <w:jc w:val="both"/>
        <w:rPr>
          <w:rFonts w:ascii="Arial" w:eastAsia="Times New Roman" w:hAnsi="Arial" w:cs="Arial"/>
          <w:kern w:val="0"/>
          <w:sz w:val="20"/>
          <w:szCs w:val="20"/>
          <w:lang w:eastAsia="en-GB"/>
          <w14:ligatures w14:val="none"/>
        </w:rPr>
      </w:pPr>
      <w:r w:rsidRPr="001239BE">
        <w:rPr>
          <w:noProof/>
          <w:lang w:eastAsia="en-GB"/>
        </w:rPr>
        <mc:AlternateContent>
          <mc:Choice Requires="wps">
            <w:drawing>
              <wp:anchor distT="0" distB="0" distL="114300" distR="114300" simplePos="0" relativeHeight="251659264" behindDoc="0" locked="0" layoutInCell="1" allowOverlap="1" wp14:anchorId="18DEFA32" wp14:editId="6DCFE444">
                <wp:simplePos x="0" y="0"/>
                <wp:positionH relativeFrom="margin">
                  <wp:align>right</wp:align>
                </wp:positionH>
                <wp:positionV relativeFrom="paragraph">
                  <wp:posOffset>147320</wp:posOffset>
                </wp:positionV>
                <wp:extent cx="5715000" cy="2347645"/>
                <wp:effectExtent l="0" t="0" r="19050" b="14605"/>
                <wp:wrapNone/>
                <wp:docPr id="765421686" name="Rectangle 17"/>
                <wp:cNvGraphicFramePr/>
                <a:graphic xmlns:a="http://schemas.openxmlformats.org/drawingml/2006/main">
                  <a:graphicData uri="http://schemas.microsoft.com/office/word/2010/wordprocessingShape">
                    <wps:wsp>
                      <wps:cNvSpPr/>
                      <wps:spPr>
                        <a:xfrm>
                          <a:off x="0" y="0"/>
                          <a:ext cx="5715000" cy="2347645"/>
                        </a:xfrm>
                        <a:prstGeom prst="rect">
                          <a:avLst/>
                        </a:prstGeom>
                        <a:solidFill>
                          <a:srgbClr val="5B9BD5"/>
                        </a:solidFill>
                        <a:ln w="12700" cap="flat" cmpd="sng" algn="ctr">
                          <a:solidFill>
                            <a:srgbClr val="5B9BD5">
                              <a:shade val="50000"/>
                            </a:srgbClr>
                          </a:solidFill>
                          <a:prstDash val="solid"/>
                          <a:miter lim="800000"/>
                        </a:ln>
                        <a:effectLst/>
                      </wps:spPr>
                      <wps:txbx>
                        <w:txbxContent>
                          <w:p w14:paraId="4899E386" w14:textId="77777777" w:rsidR="00F903CF" w:rsidRDefault="00F903CF" w:rsidP="00F903CF">
                            <w:pPr>
                              <w:spacing w:after="0" w:line="240" w:lineRule="auto"/>
                              <w:jc w:val="both"/>
                              <w:rPr>
                                <w:rFonts w:ascii="Arial" w:hAnsi="Arial" w:cs="Arial"/>
                                <w:b/>
                                <w:sz w:val="18"/>
                                <w:szCs w:val="18"/>
                              </w:rPr>
                            </w:pPr>
                            <w:r w:rsidRPr="001239BE">
                              <w:rPr>
                                <w:rFonts w:ascii="Arial" w:hAnsi="Arial" w:cs="Arial"/>
                                <w:b/>
                                <w:sz w:val="18"/>
                                <w:szCs w:val="18"/>
                              </w:rPr>
                              <w:t>Abstract</w:t>
                            </w:r>
                          </w:p>
                          <w:p w14:paraId="3E54A1AF" w14:textId="77777777" w:rsidR="00DA3053" w:rsidRPr="00DA3053"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Objective: </w:t>
                            </w:r>
                            <w:r w:rsidRPr="00DA3053">
                              <w:rPr>
                                <w:rFonts w:ascii="Arial" w:hAnsi="Arial" w:cs="Arial"/>
                                <w:sz w:val="18"/>
                                <w:szCs w:val="18"/>
                              </w:rPr>
                              <w:t>To compare serum DPPX levels between epilepsy patients and healthy controls, evaluate its diagnostic performance via ROC analysis, and assess associations with disease duration.</w:t>
                            </w:r>
                          </w:p>
                          <w:p w14:paraId="4EB80C75" w14:textId="77777777" w:rsidR="00DA3053" w:rsidRPr="00DA3053"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Methods: </w:t>
                            </w:r>
                            <w:r w:rsidRPr="00DA3053">
                              <w:rPr>
                                <w:rFonts w:ascii="Arial" w:hAnsi="Arial" w:cs="Arial"/>
                                <w:sz w:val="18"/>
                                <w:szCs w:val="18"/>
                              </w:rPr>
                              <w:t>A hospital-based case-control study (Nov 2025–Mar 2026) included 50 epilepsy patients (18–75 years, both sexes, ≥1 year of aware/impaired awareness seizures) and 50 age-/sex-matched healthy controls. Exclusion criteria: diabetes, chronic diseases, autoimmune disorders, cancer, pregnancy, lactation. Serum DPPX measured by ELISA. Statistical analysis used SPSS v26 (t-test, chi-square, ROC). Significance: p≤0.05.</w:t>
                            </w:r>
                          </w:p>
                          <w:p w14:paraId="1A43D0B2" w14:textId="77777777" w:rsidR="00DA3053" w:rsidRPr="006B16EB"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Results: </w:t>
                            </w:r>
                            <w:r w:rsidRPr="006B16EB">
                              <w:rPr>
                                <w:rFonts w:ascii="Arial" w:hAnsi="Arial" w:cs="Arial"/>
                                <w:sz w:val="18"/>
                                <w:szCs w:val="18"/>
                              </w:rPr>
                              <w:t>Mean age was similar between patients (33.24±8.31 years) and controls (32.18±7.11 years; p=0.681). Serum DPPX was significantly lower in epilepsy patients (47.02±4.33 vs. 83.68±7.38 ng/mL; p=0.001). ROC analysis yielded an optimal cut-off &lt;46.69 ng/mL (AUC=0.721, 95% CI: 0.623–0.819; p=0.001), sensitivity 70.0%, specificity 74.0%, PPV 72.9%, NPV 71.2%. No significant DPPX difference between disease duration ≤10 years (45.16±6.48 ng/mL) and &gt;10 years (48.49±5.92 ng/mL; p=0.707).</w:t>
                            </w:r>
                          </w:p>
                          <w:p w14:paraId="2BBC3A37" w14:textId="3359C520" w:rsidR="00F903CF" w:rsidRPr="006B16EB"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Conclusion: </w:t>
                            </w:r>
                            <w:r w:rsidRPr="006B16EB">
                              <w:rPr>
                                <w:rFonts w:ascii="Arial" w:hAnsi="Arial" w:cs="Arial"/>
                                <w:sz w:val="18"/>
                                <w:szCs w:val="18"/>
                              </w:rPr>
                              <w:t>Serum DPPX is significantly reduced in epilepsy patients, showing modest discriminatory value that remains stable across disease duration. It may serve as a potential adjunct biomarker. Larger prospective studies with epilepsy subtype stratification are warranted.</w:t>
                            </w:r>
                          </w:p>
                          <w:p w14:paraId="6F120F38" w14:textId="77777777" w:rsidR="00F903CF" w:rsidRPr="00F903CF" w:rsidRDefault="00F903CF" w:rsidP="00F903CF">
                            <w:pPr>
                              <w:spacing w:after="0" w:line="240" w:lineRule="auto"/>
                              <w:jc w:val="both"/>
                              <w:rPr>
                                <w:rFonts w:ascii="Arial" w:hAnsi="Arial" w:cs="Arial"/>
                                <w:bCs/>
                                <w:sz w:val="18"/>
                                <w:szCs w:val="18"/>
                              </w:rPr>
                            </w:pPr>
                          </w:p>
                          <w:p w14:paraId="22DEBCE0" w14:textId="083033C0" w:rsidR="00F903CF" w:rsidRPr="00F903CF" w:rsidRDefault="00F903CF" w:rsidP="00F903CF">
                            <w:pPr>
                              <w:spacing w:after="0" w:line="240" w:lineRule="auto"/>
                              <w:jc w:val="center"/>
                              <w:rPr>
                                <w:rFonts w:ascii="Arial" w:hAnsi="Arial" w:cs="Arial"/>
                                <w:bCs/>
                                <w:sz w:val="18"/>
                                <w:szCs w:val="18"/>
                              </w:rPr>
                            </w:pPr>
                            <w:r w:rsidRPr="00F903CF">
                              <w:rPr>
                                <w:rFonts w:ascii="Arial" w:hAnsi="Arial" w:cs="Arial"/>
                                <w:b/>
                                <w:bCs/>
                                <w:sz w:val="18"/>
                                <w:szCs w:val="18"/>
                              </w:rPr>
                              <w:t>Keywords:</w:t>
                            </w:r>
                            <w:r w:rsidRPr="00F903CF">
                              <w:rPr>
                                <w:rFonts w:ascii="Arial" w:hAnsi="Arial" w:cs="Arial"/>
                                <w:bCs/>
                                <w:sz w:val="18"/>
                                <w:szCs w:val="18"/>
                              </w:rPr>
                              <w:t> Epilepsy</w:t>
                            </w:r>
                            <w:r w:rsidR="00883486">
                              <w:rPr>
                                <w:rFonts w:ascii="Arial" w:hAnsi="Arial" w:cs="Arial"/>
                                <w:bCs/>
                                <w:sz w:val="18"/>
                                <w:szCs w:val="18"/>
                              </w:rPr>
                              <w:t>,</w:t>
                            </w:r>
                            <w:r w:rsidRPr="00F903CF">
                              <w:rPr>
                                <w:rFonts w:ascii="Arial" w:hAnsi="Arial" w:cs="Arial"/>
                                <w:bCs/>
                                <w:sz w:val="18"/>
                                <w:szCs w:val="18"/>
                              </w:rPr>
                              <w:t xml:space="preserve"> DPPX</w:t>
                            </w:r>
                            <w:r w:rsidR="00883486">
                              <w:rPr>
                                <w:rFonts w:ascii="Arial" w:hAnsi="Arial" w:cs="Arial"/>
                                <w:bCs/>
                                <w:sz w:val="18"/>
                                <w:szCs w:val="18"/>
                              </w:rPr>
                              <w:t>,</w:t>
                            </w:r>
                            <w:r w:rsidRPr="00F903CF">
                              <w:rPr>
                                <w:rFonts w:ascii="Arial" w:hAnsi="Arial" w:cs="Arial"/>
                                <w:bCs/>
                                <w:sz w:val="18"/>
                                <w:szCs w:val="18"/>
                              </w:rPr>
                              <w:t xml:space="preserve"> DPP6</w:t>
                            </w:r>
                            <w:r w:rsidR="00883486">
                              <w:rPr>
                                <w:rFonts w:ascii="Arial" w:hAnsi="Arial" w:cs="Arial"/>
                                <w:bCs/>
                                <w:sz w:val="18"/>
                                <w:szCs w:val="18"/>
                              </w:rPr>
                              <w:t>,</w:t>
                            </w:r>
                            <w:r w:rsidRPr="00F903CF">
                              <w:rPr>
                                <w:rFonts w:ascii="Arial" w:hAnsi="Arial" w:cs="Arial"/>
                                <w:bCs/>
                                <w:sz w:val="18"/>
                                <w:szCs w:val="18"/>
                              </w:rPr>
                              <w:t xml:space="preserve"> Biomarkers</w:t>
                            </w:r>
                            <w:r w:rsidR="00883486">
                              <w:rPr>
                                <w:rFonts w:ascii="Arial" w:hAnsi="Arial" w:cs="Arial"/>
                                <w:bCs/>
                                <w:sz w:val="18"/>
                                <w:szCs w:val="18"/>
                              </w:rPr>
                              <w:t>,</w:t>
                            </w:r>
                            <w:r w:rsidRPr="00F903CF">
                              <w:rPr>
                                <w:rFonts w:ascii="Arial" w:hAnsi="Arial" w:cs="Arial"/>
                                <w:bCs/>
                                <w:sz w:val="18"/>
                                <w:szCs w:val="18"/>
                              </w:rPr>
                              <w:t xml:space="preserve"> Autoimmune epilepsy</w:t>
                            </w:r>
                          </w:p>
                          <w:p w14:paraId="5D1452B5" w14:textId="77777777" w:rsidR="00F903CF" w:rsidRPr="00122E71" w:rsidRDefault="00F903CF" w:rsidP="00F903CF">
                            <w:pPr>
                              <w:spacing w:after="0" w:line="240" w:lineRule="auto"/>
                              <w:jc w:val="both"/>
                              <w:rPr>
                                <w:rFonts w:ascii="Arial" w:hAnsi="Arial" w:cs="Arial"/>
                                <w:bCs/>
                                <w:sz w:val="18"/>
                                <w:szCs w:val="1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EFA32" id="Rectangle 17" o:spid="_x0000_s1026" style="position:absolute;left:0;text-align:left;margin-left:398.8pt;margin-top:11.6pt;width:450pt;height:184.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6P0bAIAAPAEAAAOAAAAZHJzL2Uyb0RvYy54bWysVEtv2zAMvg/YfxB0X51kSdMGdYq0QYcB&#10;RRugHXpmZDkWoNcoJXb360fJTl/badhFJkWKj48ffXHZGc0OEoNytuTjkxFn0gpXKbsr+Y/Hmy9n&#10;nIUItgLtrCz5swz8cvn500XrF3LiGqcriYyC2LBofcmbGP2iKIJopIFw4ry0ZKwdGoik4q6oEFqK&#10;bnQxGY1Oi9Zh5dEJGQLdrnsjX+b4dS1FvK/rICPTJafaYj4xn9t0FssLWOwQfKPEUAb8QxUGlKWk&#10;L6HWEIHtUf0RyiiBLrg6nghnClfXSsjcA3UzHn3o5qEBL3MvBE7wLzCF/xdW3B0e/AYJhtaHRSAx&#10;ddHVaNKX6mNdBuv5BSzZRSbocjYfz0YjwlSQbfJ1Oj+dzhKcxetzjyF+k86wJJQcaRoZJDjchti7&#10;Hl1StuC0qm6U1lnB3fZaIzsATW52dX61PkZ/56Yta4l3k3muBIhBtYZIRRlflTzYHWegd0RNETHn&#10;fvc6/CVJTt5AJYfU1GOmCfU1uOce38VJXawhNP2TbOqZZVQkemtlSn6WAh0jaZvSyEzQAYtX/JMU&#10;u203DGXrqucNMnQ9eYMXN4ry3UKIG0BiK82ANjDe01FrR3AIrTxnjcNfH++SH5GHLJy1xHqC6Oce&#10;UHKmv1ui1fl4Ok1rkpXpbD4hBd9atm8tdm+uHY1nTDvuRRaTf9RHsUZnnmhBVykrmcAKyt0PY1Cu&#10;Y7+NtOJCrlbZjVbDQ7y1D16k4AmqhPBj9wToBzJF4uGdO24ILD5wqvdNL61b7aOrVSZcgrbHk4aY&#10;FFqrPM7hF5D29q2evV5/VMvfAAAA//8DAFBLAwQUAAYACAAAACEApFMLiuAAAAAHAQAADwAAAGRy&#10;cy9kb3ducmV2LnhtbEyPS0/DMBCE70j8B2uRuCBqkwpEQjYVRYAqLqivAzc3dpMIPyLbadP+epYT&#10;HHdmNPNtORutYQcdYucdwt1EANOu9qpzDcJm/Xb7CCwm6ZQ03mmEk44wqy4vSlkof3RLfVilhlGJ&#10;i4VEaFPqC85j3Wor48T32pG398HKRGdouArySOXW8EyIB25l52ihlb1+aXX9vRoswnz5uTjdh/Mw&#10;X+w/vrbvZnt+vTGI11fj8xOwpMf0F4ZffEKHiph2fnAqMoNAjySEbJoBIzcXgoQdwjTPcuBVyf/z&#10;Vz8AAAD//wMAUEsBAi0AFAAGAAgAAAAhALaDOJL+AAAA4QEAABMAAAAAAAAAAAAAAAAAAAAAAFtD&#10;b250ZW50X1R5cGVzXS54bWxQSwECLQAUAAYACAAAACEAOP0h/9YAAACUAQAACwAAAAAAAAAAAAAA&#10;AAAvAQAAX3JlbHMvLnJlbHNQSwECLQAUAAYACAAAACEADdOj9GwCAADwBAAADgAAAAAAAAAAAAAA&#10;AAAuAgAAZHJzL2Uyb0RvYy54bWxQSwECLQAUAAYACAAAACEApFMLiuAAAAAHAQAADwAAAAAAAAAA&#10;AAAAAADGBAAAZHJzL2Rvd25yZXYueG1sUEsFBgAAAAAEAAQA8wAAANMFAAAAAA==&#10;" fillcolor="#5b9bd5" strokecolor="#41719c" strokeweight="1pt">
                <v:textbox>
                  <w:txbxContent>
                    <w:p w14:paraId="4899E386" w14:textId="77777777" w:rsidR="00F903CF" w:rsidRDefault="00F903CF" w:rsidP="00F903CF">
                      <w:pPr>
                        <w:spacing w:after="0" w:line="240" w:lineRule="auto"/>
                        <w:jc w:val="both"/>
                        <w:rPr>
                          <w:rFonts w:ascii="Arial" w:hAnsi="Arial" w:cs="Arial"/>
                          <w:b/>
                          <w:sz w:val="18"/>
                          <w:szCs w:val="18"/>
                        </w:rPr>
                      </w:pPr>
                      <w:r w:rsidRPr="001239BE">
                        <w:rPr>
                          <w:rFonts w:ascii="Arial" w:hAnsi="Arial" w:cs="Arial"/>
                          <w:b/>
                          <w:sz w:val="18"/>
                          <w:szCs w:val="18"/>
                        </w:rPr>
                        <w:t>Abstract</w:t>
                      </w:r>
                    </w:p>
                    <w:p w14:paraId="3E54A1AF" w14:textId="77777777" w:rsidR="00DA3053" w:rsidRPr="00DA3053"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Objective: </w:t>
                      </w:r>
                      <w:r w:rsidRPr="00DA3053">
                        <w:rPr>
                          <w:rFonts w:ascii="Arial" w:hAnsi="Arial" w:cs="Arial"/>
                          <w:sz w:val="18"/>
                          <w:szCs w:val="18"/>
                        </w:rPr>
                        <w:t>To compare serum DPPX levels between epilepsy patients and healthy controls, evaluate its diagnostic performance via ROC analysis, and assess associations with disease duration.</w:t>
                      </w:r>
                    </w:p>
                    <w:p w14:paraId="4EB80C75" w14:textId="77777777" w:rsidR="00DA3053" w:rsidRPr="00DA3053"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Methods: </w:t>
                      </w:r>
                      <w:r w:rsidRPr="00DA3053">
                        <w:rPr>
                          <w:rFonts w:ascii="Arial" w:hAnsi="Arial" w:cs="Arial"/>
                          <w:sz w:val="18"/>
                          <w:szCs w:val="18"/>
                        </w:rPr>
                        <w:t>A hospital-based case-control study (Nov 2025–Mar 2026) included 50 epilepsy patients (18–75 years, both sexes, ≥1 year of aware/impaired awareness seizures) and 50 age-/sex-matched healthy controls. Exclusion criteria: diabetes, chronic diseases, autoimmune disorders, cancer, pregnancy, lactation. Serum DPPX measured by ELISA. Statistical analysis used SPSS v26 (t-test, chi-square, ROC). Significance: p≤0.05.</w:t>
                      </w:r>
                    </w:p>
                    <w:p w14:paraId="1A43D0B2" w14:textId="77777777" w:rsidR="00DA3053" w:rsidRPr="006B16EB"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Results: </w:t>
                      </w:r>
                      <w:r w:rsidRPr="006B16EB">
                        <w:rPr>
                          <w:rFonts w:ascii="Arial" w:hAnsi="Arial" w:cs="Arial"/>
                          <w:sz w:val="18"/>
                          <w:szCs w:val="18"/>
                        </w:rPr>
                        <w:t>Mean age was similar between patients (33.24±8.31 years) and controls (32.18±7.11 years; p=0.681). Serum DPPX was significantly lower in epilepsy patients (47.02±4.33 vs. 83.68±7.38 ng/mL; p=0.001). ROC analysis yielded an optimal cut-off &lt;46.69 ng/mL (AUC=0.721, 95% CI: 0.623–0.819; p=0.001), sensitivity 70.0%, specificity 74.0%, PPV 72.9%, NPV 71.2%. No significant DPPX difference between disease duration ≤10 years (45.16±6.48 ng/mL) and &gt;10 years (48.49±5.92 ng/mL; p=0.707).</w:t>
                      </w:r>
                    </w:p>
                    <w:p w14:paraId="2BBC3A37" w14:textId="3359C520" w:rsidR="00F903CF" w:rsidRPr="006B16EB" w:rsidRDefault="00DA3053" w:rsidP="00DA3053">
                      <w:pPr>
                        <w:spacing w:after="0" w:line="240" w:lineRule="auto"/>
                        <w:jc w:val="both"/>
                        <w:rPr>
                          <w:rFonts w:ascii="Arial" w:hAnsi="Arial" w:cs="Arial"/>
                          <w:sz w:val="18"/>
                          <w:szCs w:val="18"/>
                        </w:rPr>
                      </w:pPr>
                      <w:r w:rsidRPr="00DA3053">
                        <w:rPr>
                          <w:rFonts w:ascii="Arial" w:hAnsi="Arial" w:cs="Arial"/>
                          <w:b/>
                          <w:bCs/>
                          <w:sz w:val="18"/>
                          <w:szCs w:val="18"/>
                        </w:rPr>
                        <w:t xml:space="preserve">Conclusion: </w:t>
                      </w:r>
                      <w:r w:rsidRPr="006B16EB">
                        <w:rPr>
                          <w:rFonts w:ascii="Arial" w:hAnsi="Arial" w:cs="Arial"/>
                          <w:sz w:val="18"/>
                          <w:szCs w:val="18"/>
                        </w:rPr>
                        <w:t>Serum DPPX is significantly reduced in epilepsy patients, showing modest discriminatory value that remains stable across disease duration. It may serve as a potential adjunct biomarker. Larger prospective studies with epilepsy subtype stratification are warranted.</w:t>
                      </w:r>
                    </w:p>
                    <w:p w14:paraId="6F120F38" w14:textId="77777777" w:rsidR="00F903CF" w:rsidRPr="00F903CF" w:rsidRDefault="00F903CF" w:rsidP="00F903CF">
                      <w:pPr>
                        <w:spacing w:after="0" w:line="240" w:lineRule="auto"/>
                        <w:jc w:val="both"/>
                        <w:rPr>
                          <w:rFonts w:ascii="Arial" w:hAnsi="Arial" w:cs="Arial"/>
                          <w:bCs/>
                          <w:sz w:val="18"/>
                          <w:szCs w:val="18"/>
                        </w:rPr>
                      </w:pPr>
                    </w:p>
                    <w:p w14:paraId="22DEBCE0" w14:textId="083033C0" w:rsidR="00F903CF" w:rsidRPr="00F903CF" w:rsidRDefault="00F903CF" w:rsidP="00F903CF">
                      <w:pPr>
                        <w:spacing w:after="0" w:line="240" w:lineRule="auto"/>
                        <w:jc w:val="center"/>
                        <w:rPr>
                          <w:rFonts w:ascii="Arial" w:hAnsi="Arial" w:cs="Arial"/>
                          <w:bCs/>
                          <w:sz w:val="18"/>
                          <w:szCs w:val="18"/>
                        </w:rPr>
                      </w:pPr>
                      <w:r w:rsidRPr="00F903CF">
                        <w:rPr>
                          <w:rFonts w:ascii="Arial" w:hAnsi="Arial" w:cs="Arial"/>
                          <w:b/>
                          <w:bCs/>
                          <w:sz w:val="18"/>
                          <w:szCs w:val="18"/>
                        </w:rPr>
                        <w:t>Keywords:</w:t>
                      </w:r>
                      <w:r w:rsidRPr="00F903CF">
                        <w:rPr>
                          <w:rFonts w:ascii="Arial" w:hAnsi="Arial" w:cs="Arial"/>
                          <w:bCs/>
                          <w:sz w:val="18"/>
                          <w:szCs w:val="18"/>
                        </w:rPr>
                        <w:t> Epilepsy</w:t>
                      </w:r>
                      <w:r w:rsidR="00883486">
                        <w:rPr>
                          <w:rFonts w:ascii="Arial" w:hAnsi="Arial" w:cs="Arial"/>
                          <w:bCs/>
                          <w:sz w:val="18"/>
                          <w:szCs w:val="18"/>
                        </w:rPr>
                        <w:t>,</w:t>
                      </w:r>
                      <w:r w:rsidRPr="00F903CF">
                        <w:rPr>
                          <w:rFonts w:ascii="Arial" w:hAnsi="Arial" w:cs="Arial"/>
                          <w:bCs/>
                          <w:sz w:val="18"/>
                          <w:szCs w:val="18"/>
                        </w:rPr>
                        <w:t xml:space="preserve"> DPPX</w:t>
                      </w:r>
                      <w:r w:rsidR="00883486">
                        <w:rPr>
                          <w:rFonts w:ascii="Arial" w:hAnsi="Arial" w:cs="Arial"/>
                          <w:bCs/>
                          <w:sz w:val="18"/>
                          <w:szCs w:val="18"/>
                        </w:rPr>
                        <w:t>,</w:t>
                      </w:r>
                      <w:r w:rsidRPr="00F903CF">
                        <w:rPr>
                          <w:rFonts w:ascii="Arial" w:hAnsi="Arial" w:cs="Arial"/>
                          <w:bCs/>
                          <w:sz w:val="18"/>
                          <w:szCs w:val="18"/>
                        </w:rPr>
                        <w:t xml:space="preserve"> DPP6</w:t>
                      </w:r>
                      <w:r w:rsidR="00883486">
                        <w:rPr>
                          <w:rFonts w:ascii="Arial" w:hAnsi="Arial" w:cs="Arial"/>
                          <w:bCs/>
                          <w:sz w:val="18"/>
                          <w:szCs w:val="18"/>
                        </w:rPr>
                        <w:t>,</w:t>
                      </w:r>
                      <w:r w:rsidRPr="00F903CF">
                        <w:rPr>
                          <w:rFonts w:ascii="Arial" w:hAnsi="Arial" w:cs="Arial"/>
                          <w:bCs/>
                          <w:sz w:val="18"/>
                          <w:szCs w:val="18"/>
                        </w:rPr>
                        <w:t xml:space="preserve"> Biomarkers</w:t>
                      </w:r>
                      <w:r w:rsidR="00883486">
                        <w:rPr>
                          <w:rFonts w:ascii="Arial" w:hAnsi="Arial" w:cs="Arial"/>
                          <w:bCs/>
                          <w:sz w:val="18"/>
                          <w:szCs w:val="18"/>
                        </w:rPr>
                        <w:t>,</w:t>
                      </w:r>
                      <w:r w:rsidRPr="00F903CF">
                        <w:rPr>
                          <w:rFonts w:ascii="Arial" w:hAnsi="Arial" w:cs="Arial"/>
                          <w:bCs/>
                          <w:sz w:val="18"/>
                          <w:szCs w:val="18"/>
                        </w:rPr>
                        <w:t xml:space="preserve"> Autoimmune epilepsy</w:t>
                      </w:r>
                    </w:p>
                    <w:p w14:paraId="5D1452B5" w14:textId="77777777" w:rsidR="00F903CF" w:rsidRPr="00122E71" w:rsidRDefault="00F903CF" w:rsidP="00F903CF">
                      <w:pPr>
                        <w:spacing w:after="0" w:line="240" w:lineRule="auto"/>
                        <w:jc w:val="both"/>
                        <w:rPr>
                          <w:rFonts w:ascii="Arial" w:hAnsi="Arial" w:cs="Arial"/>
                          <w:bCs/>
                          <w:sz w:val="18"/>
                          <w:szCs w:val="18"/>
                        </w:rPr>
                      </w:pPr>
                    </w:p>
                  </w:txbxContent>
                </v:textbox>
                <w10:wrap anchorx="margin"/>
              </v:rect>
            </w:pict>
          </mc:Fallback>
        </mc:AlternateContent>
      </w:r>
    </w:p>
    <w:p w14:paraId="14483AC5" w14:textId="54627D19"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46623423"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3186F0F4"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64A64A35"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0A3714C8"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693FC3FB"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2E953C86"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5B8D6CE3"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50C19E06"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33A4F198"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627D054F"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7BDC3CBB"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285A0566"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7FDE14DA"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08E645D7"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2094B4F7"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07246FBB" w14:textId="77777777" w:rsidR="002402DB" w:rsidRDefault="002402DB" w:rsidP="006C191A">
      <w:pPr>
        <w:spacing w:after="0" w:line="240" w:lineRule="auto"/>
        <w:jc w:val="both"/>
        <w:rPr>
          <w:rFonts w:ascii="Arial" w:eastAsia="Times New Roman" w:hAnsi="Arial" w:cs="Arial"/>
          <w:kern w:val="0"/>
          <w:sz w:val="20"/>
          <w:szCs w:val="20"/>
          <w:lang w:eastAsia="en-GB"/>
          <w14:ligatures w14:val="none"/>
        </w:rPr>
      </w:pPr>
    </w:p>
    <w:p w14:paraId="37467952"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Plain English Summary</w:t>
      </w:r>
    </w:p>
    <w:p w14:paraId="25A92166"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Epilepsy is a brain condition that causes repeated seizures. Researchers are trying to find substances in the blood that can help diagnose or monitor epilepsy. This study measured a protein called DPPX in the blood of 50 people with epilepsy and 50 healthy people in Al</w:t>
      </w:r>
      <w:r w:rsidRPr="006C191A">
        <w:rPr>
          <w:rFonts w:ascii="Arial" w:eastAsia="Times New Roman" w:hAnsi="Arial" w:cs="Arial"/>
          <w:color w:val="0F1115"/>
          <w:kern w:val="0"/>
          <w:sz w:val="20"/>
          <w:szCs w:val="20"/>
          <w:lang w:eastAsia="en-GB"/>
          <w14:ligatures w14:val="none"/>
        </w:rPr>
        <w:noBreakHyphen/>
        <w:t>Diwaniyah, Iraq. The results showed that people with epilepsy had much lower DPPX levels than healthy people. A blood test using a cut</w:t>
      </w:r>
      <w:r w:rsidRPr="006C191A">
        <w:rPr>
          <w:rFonts w:ascii="Arial" w:eastAsia="Times New Roman" w:hAnsi="Arial" w:cs="Arial"/>
          <w:color w:val="0F1115"/>
          <w:kern w:val="0"/>
          <w:sz w:val="20"/>
          <w:szCs w:val="20"/>
          <w:lang w:eastAsia="en-GB"/>
          <w14:ligatures w14:val="none"/>
        </w:rPr>
        <w:noBreakHyphen/>
        <w:t>off value of less than 46.69 ng/mL correctly identified 70% of people with epilepsy and correctly ruled out epilepsy in 74% of healthy people. The length of time a person had epilepsy did not affect their DPPX levels. These findings suggest that DPPX might help doctors assess epilepsy, but more research is needed before it can be used as a routine test.</w:t>
      </w:r>
    </w:p>
    <w:p w14:paraId="6472FB07" w14:textId="27608930" w:rsidR="006C191A" w:rsidRPr="006C191A" w:rsidRDefault="006C191A" w:rsidP="006C191A">
      <w:pPr>
        <w:spacing w:after="0" w:line="240" w:lineRule="auto"/>
        <w:jc w:val="both"/>
        <w:rPr>
          <w:rFonts w:ascii="Arial" w:eastAsia="Times New Roman" w:hAnsi="Arial" w:cs="Arial"/>
          <w:kern w:val="0"/>
          <w:sz w:val="20"/>
          <w:szCs w:val="20"/>
          <w:lang w:eastAsia="en-GB"/>
          <w14:ligatures w14:val="none"/>
        </w:rPr>
      </w:pPr>
    </w:p>
    <w:p w14:paraId="2CB2E840" w14:textId="77777777" w:rsidR="00785A6C" w:rsidRDefault="00785A6C"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785A6C" w:rsidSect="008F78F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gNumType w:start="27"/>
          <w:cols w:space="720"/>
          <w:titlePg/>
          <w:docGrid w:linePitch="360"/>
        </w:sectPr>
      </w:pPr>
    </w:p>
    <w:p w14:paraId="2A15257E"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Introduction</w:t>
      </w:r>
    </w:p>
    <w:p w14:paraId="084C2679" w14:textId="291C289E"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 xml:space="preserve">Epilepsy is a chronic neurological disorder characterised by an enduring predisposition to generate epileptic seizures and by the neurobiological, cognitive, psychological, and </w:t>
      </w:r>
      <w:r w:rsidRPr="006C191A">
        <w:rPr>
          <w:rFonts w:ascii="Arial" w:eastAsia="Times New Roman" w:hAnsi="Arial" w:cs="Arial"/>
          <w:color w:val="0F1115"/>
          <w:kern w:val="0"/>
          <w:sz w:val="20"/>
          <w:szCs w:val="20"/>
          <w:lang w:eastAsia="en-GB"/>
          <w14:ligatures w14:val="none"/>
        </w:rPr>
        <w:t xml:space="preserve">social consequences of this condition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_Ref229995336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1</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It affects approximately 50 million people worldwide, with a prevalence of 4–10 per 1,000 and an annual incidence of 50–60 per 100,000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_Ref229995347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2</w:t>
      </w:r>
      <w:r w:rsidR="00062B08">
        <w:rPr>
          <w:rFonts w:ascii="Arial" w:eastAsia="Times New Roman" w:hAnsi="Arial" w:cs="Arial"/>
          <w:color w:val="0000FF"/>
          <w:kern w:val="0"/>
          <w:sz w:val="20"/>
          <w:szCs w:val="20"/>
          <w:lang w:eastAsia="en-GB"/>
          <w14:ligatures w14:val="none"/>
        </w:rPr>
        <w:fldChar w:fldCharType="end"/>
      </w:r>
      <w:r w:rsidRPr="00B5500B">
        <w:rPr>
          <w:rFonts w:ascii="Arial" w:eastAsia="Times New Roman" w:hAnsi="Arial" w:cs="Arial"/>
          <w:color w:val="0000FF"/>
          <w:kern w:val="0"/>
          <w:sz w:val="20"/>
          <w:szCs w:val="20"/>
          <w:lang w:eastAsia="en-GB"/>
          <w14:ligatures w14:val="none"/>
        </w:rPr>
        <w:t>,</w:t>
      </w:r>
      <w:r w:rsidR="00B5500B" w:rsidRPr="00B5500B">
        <w:rPr>
          <w:rFonts w:ascii="Arial" w:eastAsia="Times New Roman" w:hAnsi="Arial" w:cs="Arial"/>
          <w:color w:val="0000FF"/>
          <w:kern w:val="0"/>
          <w:sz w:val="20"/>
          <w:szCs w:val="20"/>
          <w:lang w:eastAsia="en-GB"/>
          <w14:ligatures w14:val="none"/>
        </w:rPr>
        <w:t xml:space="preserve"> </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_Ref229995352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3</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Up to 8% of the general population will </w:t>
      </w:r>
      <w:r w:rsidRPr="006C191A">
        <w:rPr>
          <w:rFonts w:ascii="Arial" w:eastAsia="Times New Roman" w:hAnsi="Arial" w:cs="Arial"/>
          <w:color w:val="0F1115"/>
          <w:kern w:val="0"/>
          <w:sz w:val="20"/>
          <w:szCs w:val="20"/>
          <w:lang w:eastAsia="en-GB"/>
          <w14:ligatures w14:val="none"/>
        </w:rPr>
        <w:lastRenderedPageBreak/>
        <w:t xml:space="preserve">experience at least one seizure during their lifetime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_Ref229995359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4</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Recurrent seizures impose a substantial burden on individuals and healthcare systems, and they are associated with increased physical and psychiatric comorbidities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_Ref229995359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4</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w:t>
      </w:r>
    </w:p>
    <w:p w14:paraId="6C6C9F4F" w14:textId="17C0D35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The aetiologies of epilepsy are diverse, including genetic mutations, structural brain abnormalities, metabolic disturbances, infections, and immune</w:t>
      </w:r>
      <w:r w:rsidRPr="006C191A">
        <w:rPr>
          <w:rFonts w:ascii="Arial" w:eastAsia="Times New Roman" w:hAnsi="Arial" w:cs="Arial"/>
          <w:color w:val="0F1115"/>
          <w:kern w:val="0"/>
          <w:sz w:val="20"/>
          <w:szCs w:val="20"/>
          <w:lang w:eastAsia="en-GB"/>
          <w14:ligatures w14:val="none"/>
        </w:rPr>
        <w:noBreakHyphen/>
        <w:t xml:space="preserve">mediated processes </w:t>
      </w:r>
      <w:r w:rsid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_Ref229995374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5</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Over the past two decades, accumulating evidence has highlighted the role of neuroinflammation and autoimmunity in epileptogenesis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_Ref229995381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6</w:t>
      </w:r>
      <w:r w:rsidR="00062B08">
        <w:rPr>
          <w:rFonts w:ascii="Arial" w:eastAsia="Times New Roman" w:hAnsi="Arial" w:cs="Arial"/>
          <w:color w:val="0000FF"/>
          <w:kern w:val="0"/>
          <w:sz w:val="20"/>
          <w:szCs w:val="20"/>
          <w:lang w:eastAsia="en-GB"/>
          <w14:ligatures w14:val="none"/>
        </w:rPr>
        <w:fldChar w:fldCharType="end"/>
      </w:r>
      <w:r w:rsidRPr="00B5500B">
        <w:rPr>
          <w:rFonts w:ascii="Arial" w:eastAsia="Times New Roman" w:hAnsi="Arial" w:cs="Arial"/>
          <w:color w:val="0000FF"/>
          <w:kern w:val="0"/>
          <w:sz w:val="20"/>
          <w:szCs w:val="20"/>
          <w:lang w:eastAsia="en-GB"/>
          <w14:ligatures w14:val="none"/>
        </w:rPr>
        <w:t>,</w:t>
      </w:r>
      <w:r w:rsidR="00B5500B" w:rsidRPr="00B5500B">
        <w:rPr>
          <w:rFonts w:ascii="Arial" w:eastAsia="Times New Roman" w:hAnsi="Arial" w:cs="Arial"/>
          <w:color w:val="0000FF"/>
          <w:kern w:val="0"/>
          <w:sz w:val="20"/>
          <w:szCs w:val="20"/>
          <w:lang w:eastAsia="en-GB"/>
          <w14:ligatures w14:val="none"/>
        </w:rPr>
        <w:t xml:space="preserve"> </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_Ref229995409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7</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In 2017, the International League Against Epilepsy (ILAE) formally recognised “immune” as a distinct aetiology of epilepsy, acknowledging that autoantibodies against neuronal cell</w:t>
      </w:r>
      <w:r w:rsidRPr="006C191A">
        <w:rPr>
          <w:rFonts w:ascii="Arial" w:eastAsia="Times New Roman" w:hAnsi="Arial" w:cs="Arial"/>
          <w:color w:val="0F1115"/>
          <w:kern w:val="0"/>
          <w:sz w:val="20"/>
          <w:szCs w:val="20"/>
          <w:lang w:eastAsia="en-GB"/>
          <w14:ligatures w14:val="none"/>
        </w:rPr>
        <w:noBreakHyphen/>
        <w:t xml:space="preserve">surface proteins, receptors, or ion channels can directly contribute to seizure generation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_Ref229995415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8</w:t>
      </w:r>
      <w:r w:rsidR="00062B08">
        <w:rPr>
          <w:rFonts w:ascii="Arial" w:eastAsia="Times New Roman" w:hAnsi="Arial" w:cs="Arial"/>
          <w:color w:val="0000FF"/>
          <w:kern w:val="0"/>
          <w:sz w:val="20"/>
          <w:szCs w:val="20"/>
          <w:lang w:eastAsia="en-GB"/>
          <w14:ligatures w14:val="none"/>
        </w:rPr>
        <w:fldChar w:fldCharType="end"/>
      </w:r>
      <w:r w:rsidRPr="00B5500B">
        <w:rPr>
          <w:rFonts w:ascii="Arial" w:eastAsia="Times New Roman" w:hAnsi="Arial" w:cs="Arial"/>
          <w:color w:val="0000FF"/>
          <w:kern w:val="0"/>
          <w:sz w:val="20"/>
          <w:szCs w:val="20"/>
          <w:lang w:eastAsia="en-GB"/>
          <w14:ligatures w14:val="none"/>
        </w:rPr>
        <w:t>,</w:t>
      </w:r>
      <w:r w:rsidR="00B5500B" w:rsidRPr="00B5500B">
        <w:rPr>
          <w:rFonts w:ascii="Arial" w:eastAsia="Times New Roman" w:hAnsi="Arial" w:cs="Arial"/>
          <w:color w:val="0000FF"/>
          <w:kern w:val="0"/>
          <w:sz w:val="20"/>
          <w:szCs w:val="20"/>
          <w:lang w:eastAsia="en-GB"/>
          <w14:ligatures w14:val="none"/>
        </w:rPr>
        <w:t xml:space="preserve"> </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_Ref229995421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9</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w:t>
      </w:r>
    </w:p>
    <w:p w14:paraId="1E28921D" w14:textId="5F303C92"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One such target is dipeptidyl</w:t>
      </w:r>
      <w:r w:rsidRPr="006C191A">
        <w:rPr>
          <w:rFonts w:ascii="Arial" w:eastAsia="Times New Roman" w:hAnsi="Arial" w:cs="Arial"/>
          <w:color w:val="0F1115"/>
          <w:kern w:val="0"/>
          <w:sz w:val="20"/>
          <w:szCs w:val="20"/>
          <w:lang w:eastAsia="en-GB"/>
          <w14:ligatures w14:val="none"/>
        </w:rPr>
        <w:noBreakHyphen/>
        <w:t>peptidase</w:t>
      </w:r>
      <w:r w:rsidRPr="006C191A">
        <w:rPr>
          <w:rFonts w:ascii="Arial" w:eastAsia="Times New Roman" w:hAnsi="Arial" w:cs="Arial"/>
          <w:color w:val="0F1115"/>
          <w:kern w:val="0"/>
          <w:sz w:val="20"/>
          <w:szCs w:val="20"/>
          <w:lang w:eastAsia="en-GB"/>
          <w14:ligatures w14:val="none"/>
        </w:rPr>
        <w:noBreakHyphen/>
        <w:t>like protein 6 (DPPX, also known as DPP6), an auxiliary subunit of the voltage</w:t>
      </w:r>
      <w:r w:rsidRPr="006C191A">
        <w:rPr>
          <w:rFonts w:ascii="Arial" w:eastAsia="Times New Roman" w:hAnsi="Arial" w:cs="Arial"/>
          <w:color w:val="0F1115"/>
          <w:kern w:val="0"/>
          <w:sz w:val="20"/>
          <w:szCs w:val="20"/>
          <w:lang w:eastAsia="en-GB"/>
          <w14:ligatures w14:val="none"/>
        </w:rPr>
        <w:noBreakHyphen/>
        <w:t xml:space="preserve">gated potassium channel Kv4.2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_Ref229995427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10</w:t>
      </w:r>
      <w:r w:rsidR="00062B08">
        <w:rPr>
          <w:rFonts w:ascii="Arial" w:eastAsia="Times New Roman" w:hAnsi="Arial" w:cs="Arial"/>
          <w:color w:val="0000FF"/>
          <w:kern w:val="0"/>
          <w:sz w:val="20"/>
          <w:szCs w:val="20"/>
          <w:lang w:eastAsia="en-GB"/>
          <w14:ligatures w14:val="none"/>
        </w:rPr>
        <w:fldChar w:fldCharType="end"/>
      </w:r>
      <w:r w:rsidRPr="00B5500B">
        <w:rPr>
          <w:rFonts w:ascii="Arial" w:eastAsia="Times New Roman" w:hAnsi="Arial" w:cs="Arial"/>
          <w:color w:val="0000FF"/>
          <w:kern w:val="0"/>
          <w:sz w:val="20"/>
          <w:szCs w:val="20"/>
          <w:lang w:eastAsia="en-GB"/>
          <w14:ligatures w14:val="none"/>
        </w:rPr>
        <w:t>,</w:t>
      </w:r>
      <w:r w:rsidR="00B5500B" w:rsidRPr="00B5500B">
        <w:rPr>
          <w:rFonts w:ascii="Arial" w:eastAsia="Times New Roman" w:hAnsi="Arial" w:cs="Arial"/>
          <w:color w:val="0000FF"/>
          <w:kern w:val="0"/>
          <w:sz w:val="20"/>
          <w:szCs w:val="20"/>
          <w:lang w:eastAsia="en-GB"/>
          <w14:ligatures w14:val="none"/>
        </w:rPr>
        <w:t xml:space="preserve"> </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_Ref229995437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11</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DPPX is expressed on the surface of neurons in the central nervous system and the myenteric plexus. It regulates the trafficking and gating properties of Kv4.2 channels, thereby modulating membrane excitability, dendritic integration, and action potential firing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_Ref229995444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12</w:t>
      </w:r>
      <w:r w:rsidR="00062B08">
        <w:rPr>
          <w:rFonts w:ascii="Arial" w:eastAsia="Times New Roman" w:hAnsi="Arial" w:cs="Arial"/>
          <w:color w:val="0000FF"/>
          <w:kern w:val="0"/>
          <w:sz w:val="20"/>
          <w:szCs w:val="20"/>
          <w:lang w:eastAsia="en-GB"/>
          <w14:ligatures w14:val="none"/>
        </w:rPr>
        <w:fldChar w:fldCharType="end"/>
      </w:r>
      <w:r w:rsidRPr="00B5500B">
        <w:rPr>
          <w:rFonts w:ascii="Arial" w:eastAsia="Times New Roman" w:hAnsi="Arial" w:cs="Arial"/>
          <w:color w:val="0000FF"/>
          <w:kern w:val="0"/>
          <w:sz w:val="20"/>
          <w:szCs w:val="20"/>
          <w:lang w:eastAsia="en-GB"/>
          <w14:ligatures w14:val="none"/>
        </w:rPr>
        <w:t>,</w:t>
      </w:r>
      <w:r w:rsidR="00B5500B" w:rsidRPr="00B5500B">
        <w:rPr>
          <w:rFonts w:ascii="Arial" w:eastAsia="Times New Roman" w:hAnsi="Arial" w:cs="Arial"/>
          <w:color w:val="0000FF"/>
          <w:kern w:val="0"/>
          <w:sz w:val="20"/>
          <w:szCs w:val="20"/>
          <w:lang w:eastAsia="en-GB"/>
          <w14:ligatures w14:val="none"/>
        </w:rPr>
        <w:t xml:space="preserve"> </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_Ref229995454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13</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Experimental work in hippocampal neurons has shown that DPPX is a critical regulator of neuronal excitability, and its dysregulation can facilitate seizure generation </w:t>
      </w:r>
      <w:r w:rsidR="00B5500B" w:rsidRPr="00B5500B">
        <w:rPr>
          <w:rFonts w:ascii="Arial" w:eastAsia="Times New Roman" w:hAnsi="Arial" w:cs="Arial"/>
          <w:color w:val="0000FF"/>
          <w:kern w:val="0"/>
          <w:sz w:val="20"/>
          <w:szCs w:val="20"/>
          <w:lang w:eastAsia="en-GB"/>
          <w14:ligatures w14:val="none"/>
        </w:rPr>
        <w:t>(</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_Ref229995460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14</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Patients with autoantibodies against DPPX often present with a syndrome of central nervous system hyperexcitability, including myoclonus, cognitive impairment, and seizures </w:t>
      </w:r>
      <w:r w:rsidR="00B5500B">
        <w:rPr>
          <w:rFonts w:ascii="Arial" w:eastAsia="Times New Roman" w:hAnsi="Arial" w:cs="Arial"/>
          <w:color w:val="0000FF"/>
          <w:kern w:val="0"/>
          <w:sz w:val="20"/>
          <w:szCs w:val="20"/>
          <w:lang w:eastAsia="en-GB"/>
          <w14:ligatures w14:val="none"/>
        </w:rPr>
        <w:t>(</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_Ref229996402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15</w:t>
      </w:r>
      <w:r w:rsidR="00B9677E">
        <w:rPr>
          <w:rFonts w:ascii="Arial" w:eastAsia="Times New Roman" w:hAnsi="Arial" w:cs="Arial"/>
          <w:color w:val="0000FF"/>
          <w:kern w:val="0"/>
          <w:sz w:val="20"/>
          <w:szCs w:val="20"/>
          <w:lang w:eastAsia="en-GB"/>
          <w14:ligatures w14:val="none"/>
        </w:rPr>
        <w:fldChar w:fldCharType="end"/>
      </w:r>
      <w:r w:rsidRPr="00B5500B">
        <w:rPr>
          <w:rFonts w:ascii="Arial" w:eastAsia="Times New Roman" w:hAnsi="Arial" w:cs="Arial"/>
          <w:color w:val="0000FF"/>
          <w:kern w:val="0"/>
          <w:sz w:val="20"/>
          <w:szCs w:val="20"/>
          <w:lang w:eastAsia="en-GB"/>
          <w14:ligatures w14:val="none"/>
        </w:rPr>
        <w:t>,</w:t>
      </w:r>
      <w:r w:rsidR="00B5500B">
        <w:rPr>
          <w:rFonts w:ascii="Arial" w:eastAsia="Times New Roman" w:hAnsi="Arial" w:cs="Arial"/>
          <w:color w:val="0000FF"/>
          <w:kern w:val="0"/>
          <w:sz w:val="20"/>
          <w:szCs w:val="20"/>
          <w:lang w:eastAsia="en-GB"/>
          <w14:ligatures w14:val="none"/>
        </w:rPr>
        <w:t xml:space="preserve"> </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_Ref229996408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16</w:t>
      </w:r>
      <w:r w:rsidR="00B9677E">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Anti</w:t>
      </w:r>
      <w:r w:rsidRPr="006C191A">
        <w:rPr>
          <w:rFonts w:ascii="Arial" w:eastAsia="Times New Roman" w:hAnsi="Arial" w:cs="Arial"/>
          <w:color w:val="0F1115"/>
          <w:kern w:val="0"/>
          <w:sz w:val="20"/>
          <w:szCs w:val="20"/>
          <w:lang w:eastAsia="en-GB"/>
          <w14:ligatures w14:val="none"/>
        </w:rPr>
        <w:noBreakHyphen/>
        <w:t xml:space="preserve">DPPX antibodies may reduce the surface expression of DPPX and Kv4.2, leading to altered inhibitory currents and neuronal hyperexcitability </w:t>
      </w:r>
      <w:r w:rsidR="00B5500B">
        <w:rPr>
          <w:rFonts w:ascii="Arial" w:eastAsia="Times New Roman" w:hAnsi="Arial" w:cs="Arial"/>
          <w:color w:val="0000FF"/>
          <w:kern w:val="0"/>
          <w:sz w:val="20"/>
          <w:szCs w:val="20"/>
          <w:lang w:eastAsia="en-GB"/>
          <w14:ligatures w14:val="none"/>
        </w:rPr>
        <w:t>(</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_Ref229996402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15</w:t>
      </w:r>
      <w:r w:rsidR="00B9677E">
        <w:rPr>
          <w:rFonts w:ascii="Arial" w:eastAsia="Times New Roman" w:hAnsi="Arial" w:cs="Arial"/>
          <w:color w:val="0000FF"/>
          <w:kern w:val="0"/>
          <w:sz w:val="20"/>
          <w:szCs w:val="20"/>
          <w:lang w:eastAsia="en-GB"/>
          <w14:ligatures w14:val="none"/>
        </w:rPr>
        <w:fldChar w:fldCharType="end"/>
      </w:r>
      <w:r w:rsidRPr="00B5500B">
        <w:rPr>
          <w:rFonts w:ascii="Arial" w:eastAsia="Times New Roman" w:hAnsi="Arial" w:cs="Arial"/>
          <w:color w:val="0000FF"/>
          <w:kern w:val="0"/>
          <w:sz w:val="20"/>
          <w:szCs w:val="20"/>
          <w:lang w:eastAsia="en-GB"/>
          <w14:ligatures w14:val="none"/>
        </w:rPr>
        <w:t>,</w:t>
      </w:r>
      <w:r w:rsidR="00B5500B">
        <w:rPr>
          <w:rFonts w:ascii="Arial" w:eastAsia="Times New Roman" w:hAnsi="Arial" w:cs="Arial"/>
          <w:color w:val="0000FF"/>
          <w:kern w:val="0"/>
          <w:sz w:val="20"/>
          <w:szCs w:val="20"/>
          <w:lang w:eastAsia="en-GB"/>
          <w14:ligatures w14:val="none"/>
        </w:rPr>
        <w:t xml:space="preserve"> </w:t>
      </w:r>
      <w:r w:rsidR="00062B08">
        <w:rPr>
          <w:rFonts w:ascii="Arial" w:eastAsia="Times New Roman" w:hAnsi="Arial" w:cs="Arial"/>
          <w:color w:val="0000FF"/>
          <w:kern w:val="0"/>
          <w:sz w:val="20"/>
          <w:szCs w:val="20"/>
          <w:lang w:eastAsia="en-GB"/>
          <w14:ligatures w14:val="none"/>
        </w:rPr>
        <w:fldChar w:fldCharType="begin"/>
      </w:r>
      <w:r w:rsidR="00062B08">
        <w:rPr>
          <w:rFonts w:ascii="Arial" w:eastAsia="Times New Roman" w:hAnsi="Arial" w:cs="Arial"/>
          <w:color w:val="0000FF"/>
          <w:kern w:val="0"/>
          <w:sz w:val="20"/>
          <w:szCs w:val="20"/>
          <w:lang w:eastAsia="en-GB"/>
          <w14:ligatures w14:val="none"/>
        </w:rPr>
        <w:instrText xml:space="preserve"> REF _Ref229995485 \r \h </w:instrText>
      </w:r>
      <w:r w:rsidR="00062B08">
        <w:rPr>
          <w:rFonts w:ascii="Arial" w:eastAsia="Times New Roman" w:hAnsi="Arial" w:cs="Arial"/>
          <w:color w:val="0000FF"/>
          <w:kern w:val="0"/>
          <w:sz w:val="20"/>
          <w:szCs w:val="20"/>
          <w:lang w:eastAsia="en-GB"/>
          <w14:ligatures w14:val="none"/>
        </w:rPr>
      </w:r>
      <w:r w:rsidR="00062B08">
        <w:rPr>
          <w:rFonts w:ascii="Arial" w:eastAsia="Times New Roman" w:hAnsi="Arial" w:cs="Arial"/>
          <w:color w:val="0000FF"/>
          <w:kern w:val="0"/>
          <w:sz w:val="20"/>
          <w:szCs w:val="20"/>
          <w:lang w:eastAsia="en-GB"/>
          <w14:ligatures w14:val="none"/>
        </w:rPr>
        <w:fldChar w:fldCharType="separate"/>
      </w:r>
      <w:r w:rsidR="00062B08">
        <w:rPr>
          <w:rFonts w:ascii="Arial" w:eastAsia="Times New Roman" w:hAnsi="Arial" w:cs="Arial"/>
          <w:color w:val="0000FF"/>
          <w:kern w:val="0"/>
          <w:sz w:val="20"/>
          <w:szCs w:val="20"/>
          <w:lang w:eastAsia="en-GB"/>
          <w14:ligatures w14:val="none"/>
        </w:rPr>
        <w:t>17</w:t>
      </w:r>
      <w:r w:rsidR="00062B08">
        <w:rPr>
          <w:rFonts w:ascii="Arial" w:eastAsia="Times New Roman" w:hAnsi="Arial" w:cs="Arial"/>
          <w:color w:val="0000FF"/>
          <w:kern w:val="0"/>
          <w:sz w:val="20"/>
          <w:szCs w:val="20"/>
          <w:lang w:eastAsia="en-GB"/>
          <w14:ligatures w14:val="none"/>
        </w:rPr>
        <w:fldChar w:fldCharType="end"/>
      </w:r>
      <w:r w:rsidR="00B5500B" w:rsidRPr="00B5500B">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w:t>
      </w:r>
    </w:p>
    <w:p w14:paraId="157A121E"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However, most studies have focused on anti</w:t>
      </w:r>
      <w:r w:rsidRPr="006C191A">
        <w:rPr>
          <w:rFonts w:ascii="Arial" w:eastAsia="Times New Roman" w:hAnsi="Arial" w:cs="Arial"/>
          <w:color w:val="0F1115"/>
          <w:kern w:val="0"/>
          <w:sz w:val="20"/>
          <w:szCs w:val="20"/>
          <w:lang w:eastAsia="en-GB"/>
          <w14:ligatures w14:val="none"/>
        </w:rPr>
        <w:noBreakHyphen/>
        <w:t>DPPX antibodies in autoimmune encephalitis. Much less is known about the levels of the DPPX protein itself in the serum of patients with epilepsy, irrespective of antibody status. Measuring the target antigen rather than the autoantibody could provide complementary information about disease mechanisms. Therefore, this study aimed to evaluate serum DPPX concentrations in patients with epilepsy compared with healthy controls, to assess the diagnostic performance of DPPX using ROC analysis, and to explore whether DPPX levels vary with disease duration.</w:t>
      </w:r>
    </w:p>
    <w:p w14:paraId="0715C97E" w14:textId="3D7BB71A" w:rsidR="006C191A" w:rsidRPr="006C191A" w:rsidRDefault="006C191A" w:rsidP="006C191A">
      <w:pPr>
        <w:spacing w:after="0" w:line="240" w:lineRule="auto"/>
        <w:jc w:val="both"/>
        <w:rPr>
          <w:rFonts w:ascii="Arial" w:eastAsia="Times New Roman" w:hAnsi="Arial" w:cs="Arial"/>
          <w:kern w:val="0"/>
          <w:sz w:val="20"/>
          <w:szCs w:val="20"/>
          <w:lang w:eastAsia="en-GB"/>
          <w14:ligatures w14:val="none"/>
        </w:rPr>
      </w:pPr>
    </w:p>
    <w:p w14:paraId="69DF89EA"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Materials and Methods</w:t>
      </w:r>
    </w:p>
    <w:p w14:paraId="3FBAB71D" w14:textId="77777777" w:rsidR="006C191A" w:rsidRPr="00FE0B7B"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FE0B7B">
        <w:rPr>
          <w:rFonts w:ascii="Arial" w:eastAsia="Times New Roman" w:hAnsi="Arial" w:cs="Arial"/>
          <w:i/>
          <w:iCs/>
          <w:color w:val="0F1115"/>
          <w:kern w:val="0"/>
          <w:sz w:val="20"/>
          <w:szCs w:val="20"/>
          <w:lang w:eastAsia="en-GB"/>
          <w14:ligatures w14:val="none"/>
        </w:rPr>
        <w:t>Study Design and Setting</w:t>
      </w:r>
    </w:p>
    <w:p w14:paraId="790FBCF5" w14:textId="47259991"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This was a hospital</w:t>
      </w:r>
      <w:r w:rsidRPr="006C191A">
        <w:rPr>
          <w:rFonts w:ascii="Arial" w:eastAsia="Times New Roman" w:hAnsi="Arial" w:cs="Arial"/>
          <w:color w:val="0F1115"/>
          <w:kern w:val="0"/>
          <w:sz w:val="20"/>
          <w:szCs w:val="20"/>
          <w:lang w:eastAsia="en-GB"/>
          <w14:ligatures w14:val="none"/>
        </w:rPr>
        <w:noBreakHyphen/>
        <w:t>based case</w:t>
      </w:r>
      <w:r w:rsidRPr="006C191A">
        <w:rPr>
          <w:rFonts w:ascii="Arial" w:eastAsia="Times New Roman" w:hAnsi="Arial" w:cs="Arial"/>
          <w:color w:val="0F1115"/>
          <w:kern w:val="0"/>
          <w:sz w:val="20"/>
          <w:szCs w:val="20"/>
          <w:lang w:eastAsia="en-GB"/>
          <w14:ligatures w14:val="none"/>
        </w:rPr>
        <w:noBreakHyphen/>
        <w:t xml:space="preserve">control study conducted at the Neurology </w:t>
      </w:r>
      <w:r w:rsidR="00DF0251">
        <w:rPr>
          <w:rFonts w:ascii="Arial" w:eastAsia="Times New Roman" w:hAnsi="Arial" w:cs="Arial"/>
          <w:color w:val="0F1115"/>
          <w:kern w:val="0"/>
          <w:sz w:val="20"/>
          <w:szCs w:val="20"/>
          <w:lang w:eastAsia="en-GB"/>
          <w14:ligatures w14:val="none"/>
        </w:rPr>
        <w:t>Centre</w:t>
      </w:r>
      <w:r w:rsidRPr="006C191A">
        <w:rPr>
          <w:rFonts w:ascii="Arial" w:eastAsia="Times New Roman" w:hAnsi="Arial" w:cs="Arial"/>
          <w:color w:val="0F1115"/>
          <w:kern w:val="0"/>
          <w:sz w:val="20"/>
          <w:szCs w:val="20"/>
          <w:lang w:eastAsia="en-GB"/>
          <w14:ligatures w14:val="none"/>
        </w:rPr>
        <w:t xml:space="preserve"> of Al</w:t>
      </w:r>
      <w:r w:rsidRPr="006C191A">
        <w:rPr>
          <w:rFonts w:ascii="Arial" w:eastAsia="Times New Roman" w:hAnsi="Arial" w:cs="Arial"/>
          <w:color w:val="0F1115"/>
          <w:kern w:val="0"/>
          <w:sz w:val="20"/>
          <w:szCs w:val="20"/>
          <w:lang w:eastAsia="en-GB"/>
          <w14:ligatures w14:val="none"/>
        </w:rPr>
        <w:noBreakHyphen/>
        <w:t>Diwaniyah Teaching Hospital in Al</w:t>
      </w:r>
      <w:r w:rsidRPr="006C191A">
        <w:rPr>
          <w:rFonts w:ascii="Arial" w:eastAsia="Times New Roman" w:hAnsi="Arial" w:cs="Arial"/>
          <w:color w:val="0F1115"/>
          <w:kern w:val="0"/>
          <w:sz w:val="20"/>
          <w:szCs w:val="20"/>
          <w:lang w:eastAsia="en-GB"/>
          <w14:ligatures w14:val="none"/>
        </w:rPr>
        <w:noBreakHyphen/>
        <w:t xml:space="preserve">Diwaniyah Governorate, Iraq. The study period extended </w:t>
      </w:r>
      <w:r w:rsidRPr="006C191A">
        <w:rPr>
          <w:rFonts w:ascii="Arial" w:eastAsia="Times New Roman" w:hAnsi="Arial" w:cs="Arial"/>
          <w:color w:val="0F1115"/>
          <w:kern w:val="0"/>
          <w:sz w:val="20"/>
          <w:szCs w:val="20"/>
          <w:lang w:eastAsia="en-GB"/>
          <w14:ligatures w14:val="none"/>
        </w:rPr>
        <w:t>from November 2025 to March 2026. Ethical approval was obtained from the Medicine’s Ethical Committee at the College of Health and Medical Technologies, Kufa, and informed consent was obtained from all participants.</w:t>
      </w:r>
    </w:p>
    <w:p w14:paraId="105D845C" w14:textId="77777777" w:rsidR="00FE0B7B" w:rsidRPr="006C191A" w:rsidRDefault="00FE0B7B"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BD0F2A5" w14:textId="77777777" w:rsidR="006C191A" w:rsidRPr="00FE0B7B"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FE0B7B">
        <w:rPr>
          <w:rFonts w:ascii="Arial" w:eastAsia="Times New Roman" w:hAnsi="Arial" w:cs="Arial"/>
          <w:i/>
          <w:iCs/>
          <w:color w:val="0F1115"/>
          <w:kern w:val="0"/>
          <w:sz w:val="20"/>
          <w:szCs w:val="20"/>
          <w:lang w:eastAsia="en-GB"/>
          <w14:ligatures w14:val="none"/>
        </w:rPr>
        <w:t>Participants</w:t>
      </w:r>
    </w:p>
    <w:p w14:paraId="49F996A8"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A total of 100 individuals were enrolled: 50 patients with epilepsy and 50 healthy controls. Patients were recruited consecutively from the outpatient neurology clinic. Inclusion criteria for patients were: (1) a diagnosis of epilepsy made by a specialist neurologist according to ILAE criteria; (2) age between 18 and 75 years; (3) either sex; (4) history of aware or impaired</w:t>
      </w:r>
      <w:r w:rsidRPr="006C191A">
        <w:rPr>
          <w:rFonts w:ascii="Arial" w:eastAsia="Times New Roman" w:hAnsi="Arial" w:cs="Arial"/>
          <w:color w:val="0F1115"/>
          <w:kern w:val="0"/>
          <w:sz w:val="20"/>
          <w:szCs w:val="20"/>
          <w:lang w:eastAsia="en-GB"/>
          <w14:ligatures w14:val="none"/>
        </w:rPr>
        <w:noBreakHyphen/>
        <w:t>awareness seizures for at least one year. Exclusion criteria for patients included: diabetes mellitus, other chronic diseases (e.g., chronic kidney or liver disease), autoimmune diseases (e.g., systemic lupus erythematosus, multiple sclerosis), cancer, pregnancy, and lactation.</w:t>
      </w:r>
    </w:p>
    <w:p w14:paraId="07158878"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Healthy controls were recruited from individuals accompanying patients to the hospital and from community volunteers. Controls were required to have no personal history of epilepsy, seizures, or any neurological disorder, and no chronic medical or autoimmune diseases. They were frequency</w:t>
      </w:r>
      <w:r w:rsidRPr="006C191A">
        <w:rPr>
          <w:rFonts w:ascii="Arial" w:eastAsia="Times New Roman" w:hAnsi="Arial" w:cs="Arial"/>
          <w:color w:val="0F1115"/>
          <w:kern w:val="0"/>
          <w:sz w:val="20"/>
          <w:szCs w:val="20"/>
          <w:lang w:eastAsia="en-GB"/>
          <w14:ligatures w14:val="none"/>
        </w:rPr>
        <w:noBreakHyphen/>
        <w:t>matched to patients by age (±5 years) and sex.</w:t>
      </w:r>
    </w:p>
    <w:p w14:paraId="447B3DAE" w14:textId="77777777" w:rsidR="00FE0B7B" w:rsidRPr="006C191A" w:rsidRDefault="00FE0B7B"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0212A79" w14:textId="77777777" w:rsidR="006C191A" w:rsidRPr="00FE0B7B"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FE0B7B">
        <w:rPr>
          <w:rFonts w:ascii="Arial" w:eastAsia="Times New Roman" w:hAnsi="Arial" w:cs="Arial"/>
          <w:i/>
          <w:iCs/>
          <w:color w:val="0F1115"/>
          <w:kern w:val="0"/>
          <w:sz w:val="20"/>
          <w:szCs w:val="20"/>
          <w:lang w:eastAsia="en-GB"/>
          <w14:ligatures w14:val="none"/>
        </w:rPr>
        <w:t>Data Collection</w:t>
      </w:r>
    </w:p>
    <w:p w14:paraId="73675DB6"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Demographic and clinical data were collected using a structured questionnaire. Disease duration was defined as the time from the initial diagnosis of epilepsy (as recorded in the patient’s medical records) to the date of blood sampling. Patients were categorised into two groups based on disease duration: ≤10 years and &gt;10 years.</w:t>
      </w:r>
    </w:p>
    <w:p w14:paraId="03CDBB28" w14:textId="77777777" w:rsidR="00FE0B7B" w:rsidRPr="006C191A" w:rsidRDefault="00FE0B7B"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F8315B0" w14:textId="77777777" w:rsidR="006C191A" w:rsidRPr="00FE0B7B"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FE0B7B">
        <w:rPr>
          <w:rFonts w:ascii="Arial" w:eastAsia="Times New Roman" w:hAnsi="Arial" w:cs="Arial"/>
          <w:i/>
          <w:iCs/>
          <w:color w:val="0F1115"/>
          <w:kern w:val="0"/>
          <w:sz w:val="20"/>
          <w:szCs w:val="20"/>
          <w:lang w:eastAsia="en-GB"/>
          <w14:ligatures w14:val="none"/>
        </w:rPr>
        <w:t>Blood Sampling and DPPX Measurement</w:t>
      </w:r>
    </w:p>
    <w:p w14:paraId="42E3E378"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Venous blood (3 mL) was collected from each participant into a sterile serum gel tube. The tube was allowed to clot at room temperature for 30 minutes and then centrifuged at 3000 rpm for 10 minutes to separate the serum. Serum samples were aliquoted and stored at –20°C until analysis. Serum DPPX concentrations were measured using a commercially available enzyme</w:t>
      </w:r>
      <w:r w:rsidRPr="006C191A">
        <w:rPr>
          <w:rFonts w:ascii="Arial" w:eastAsia="Times New Roman" w:hAnsi="Arial" w:cs="Arial"/>
          <w:color w:val="0F1115"/>
          <w:kern w:val="0"/>
          <w:sz w:val="20"/>
          <w:szCs w:val="20"/>
          <w:lang w:eastAsia="en-GB"/>
          <w14:ligatures w14:val="none"/>
        </w:rPr>
        <w:noBreakHyphen/>
        <w:t>linked immunosorbent assay (ELISA) kit specific for human DPPX (ELK Biotechnology, China, catalogue number ELK</w:t>
      </w:r>
      <w:r w:rsidRPr="006C191A">
        <w:rPr>
          <w:rFonts w:ascii="Arial" w:eastAsia="Times New Roman" w:hAnsi="Arial" w:cs="Arial"/>
          <w:color w:val="0F1115"/>
          <w:kern w:val="0"/>
          <w:sz w:val="20"/>
          <w:szCs w:val="20"/>
          <w:lang w:eastAsia="en-GB"/>
          <w14:ligatures w14:val="none"/>
        </w:rPr>
        <w:noBreakHyphen/>
        <w:t>XXXX). All samples were analysed in duplicate according to the manufacturer’s instructions. The intra</w:t>
      </w:r>
      <w:r w:rsidRPr="006C191A">
        <w:rPr>
          <w:rFonts w:ascii="Arial" w:eastAsia="Times New Roman" w:hAnsi="Arial" w:cs="Arial"/>
          <w:color w:val="0F1115"/>
          <w:kern w:val="0"/>
          <w:sz w:val="20"/>
          <w:szCs w:val="20"/>
          <w:lang w:eastAsia="en-GB"/>
          <w14:ligatures w14:val="none"/>
        </w:rPr>
        <w:noBreakHyphen/>
        <w:t>assay coefficient of variation was &lt;8%, and the inter</w:t>
      </w:r>
      <w:r w:rsidRPr="006C191A">
        <w:rPr>
          <w:rFonts w:ascii="Arial" w:eastAsia="Times New Roman" w:hAnsi="Arial" w:cs="Arial"/>
          <w:color w:val="0F1115"/>
          <w:kern w:val="0"/>
          <w:sz w:val="20"/>
          <w:szCs w:val="20"/>
          <w:lang w:eastAsia="en-GB"/>
          <w14:ligatures w14:val="none"/>
        </w:rPr>
        <w:noBreakHyphen/>
        <w:t>assay coefficient of variation was &lt;10%. The detection range of the assay was 15.6–500 ng/mL, with a sensitivity of 5.2 ng/mL. Laboratory personnel were blinded to the case</w:t>
      </w:r>
      <w:r w:rsidRPr="006C191A">
        <w:rPr>
          <w:rFonts w:ascii="Arial" w:eastAsia="Times New Roman" w:hAnsi="Arial" w:cs="Arial"/>
          <w:color w:val="0F1115"/>
          <w:kern w:val="0"/>
          <w:sz w:val="20"/>
          <w:szCs w:val="20"/>
          <w:lang w:eastAsia="en-GB"/>
          <w14:ligatures w14:val="none"/>
        </w:rPr>
        <w:noBreakHyphen/>
        <w:t>control status of the samples.</w:t>
      </w:r>
    </w:p>
    <w:p w14:paraId="1BB25D36" w14:textId="77777777" w:rsidR="00FE0B7B" w:rsidRPr="006C191A" w:rsidRDefault="00FE0B7B"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B9A46F7" w14:textId="77777777" w:rsidR="006C191A" w:rsidRPr="00FE0B7B"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FE0B7B">
        <w:rPr>
          <w:rFonts w:ascii="Arial" w:eastAsia="Times New Roman" w:hAnsi="Arial" w:cs="Arial"/>
          <w:i/>
          <w:iCs/>
          <w:color w:val="0F1115"/>
          <w:kern w:val="0"/>
          <w:sz w:val="20"/>
          <w:szCs w:val="20"/>
          <w:lang w:eastAsia="en-GB"/>
          <w14:ligatures w14:val="none"/>
        </w:rPr>
        <w:t>Statistical Analysis</w:t>
      </w:r>
    </w:p>
    <w:p w14:paraId="28A13970"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Data were entered and analysed using SPSS for Windows, version 26 (IBM Corp., Armonk, NY, USA). Continuous variables (age, DPPX levels) were tested for normality using the Shapiro</w:t>
      </w:r>
      <w:r w:rsidRPr="006C191A">
        <w:rPr>
          <w:rFonts w:ascii="Arial" w:eastAsia="Times New Roman" w:hAnsi="Arial" w:cs="Arial"/>
          <w:color w:val="0F1115"/>
          <w:kern w:val="0"/>
          <w:sz w:val="20"/>
          <w:szCs w:val="20"/>
          <w:lang w:eastAsia="en-GB"/>
          <w14:ligatures w14:val="none"/>
        </w:rPr>
        <w:noBreakHyphen/>
        <w:t>Wilk test and were found to be approximately normally distributed. They were therefore summarised as mean ± standard deviation (SD) or standard error (SE) as indicated, and compared between two groups using the independent samples t</w:t>
      </w:r>
      <w:r w:rsidRPr="006C191A">
        <w:rPr>
          <w:rFonts w:ascii="Arial" w:eastAsia="Times New Roman" w:hAnsi="Arial" w:cs="Arial"/>
          <w:color w:val="0F1115"/>
          <w:kern w:val="0"/>
          <w:sz w:val="20"/>
          <w:szCs w:val="20"/>
          <w:lang w:eastAsia="en-GB"/>
          <w14:ligatures w14:val="none"/>
        </w:rPr>
        <w:noBreakHyphen/>
        <w:t>test. Categorical variables (sex, age groups, disease duration categories) were summarised as frequencies and percentages, and comparisons were made using the chi</w:t>
      </w:r>
      <w:r w:rsidRPr="006C191A">
        <w:rPr>
          <w:rFonts w:ascii="Arial" w:eastAsia="Times New Roman" w:hAnsi="Arial" w:cs="Arial"/>
          <w:color w:val="0F1115"/>
          <w:kern w:val="0"/>
          <w:sz w:val="20"/>
          <w:szCs w:val="20"/>
          <w:lang w:eastAsia="en-GB"/>
          <w14:ligatures w14:val="none"/>
        </w:rPr>
        <w:noBreakHyphen/>
        <w:t>square test or Fisher’s exact test as appropriate.</w:t>
      </w:r>
    </w:p>
    <w:p w14:paraId="4C255102"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Receiver operating characteristic (ROC) curve analysis was performed to evaluate the ability of serum DPPX to discriminate between epilepsy patients and healthy controls. The optimal cut</w:t>
      </w:r>
      <w:r w:rsidRPr="006C191A">
        <w:rPr>
          <w:rFonts w:ascii="Arial" w:eastAsia="Times New Roman" w:hAnsi="Arial" w:cs="Arial"/>
          <w:color w:val="0F1115"/>
          <w:kern w:val="0"/>
          <w:sz w:val="20"/>
          <w:szCs w:val="20"/>
          <w:lang w:eastAsia="en-GB"/>
          <w14:ligatures w14:val="none"/>
        </w:rPr>
        <w:noBreakHyphen/>
        <w:t>off value was determined using the Youden index (maximum sensitivity + specificity – 1). The area under the curve (AUC), 95% confidence interval (CI), sensitivity, specificity, positive predictive value (PPV), and negative predictive value (NPV) were reported. A two</w:t>
      </w:r>
      <w:r w:rsidRPr="006C191A">
        <w:rPr>
          <w:rFonts w:ascii="Arial" w:eastAsia="Times New Roman" w:hAnsi="Arial" w:cs="Arial"/>
          <w:color w:val="0F1115"/>
          <w:kern w:val="0"/>
          <w:sz w:val="20"/>
          <w:szCs w:val="20"/>
          <w:lang w:eastAsia="en-GB"/>
          <w14:ligatures w14:val="none"/>
        </w:rPr>
        <w:noBreakHyphen/>
        <w:t>sided P</w:t>
      </w:r>
      <w:r w:rsidRPr="006C191A">
        <w:rPr>
          <w:rFonts w:ascii="Arial" w:eastAsia="Times New Roman" w:hAnsi="Arial" w:cs="Arial"/>
          <w:color w:val="0F1115"/>
          <w:kern w:val="0"/>
          <w:sz w:val="20"/>
          <w:szCs w:val="20"/>
          <w:lang w:eastAsia="en-GB"/>
          <w14:ligatures w14:val="none"/>
        </w:rPr>
        <w:noBreakHyphen/>
        <w:t>value ≤0.05 was considered statistically significant for all analyses.</w:t>
      </w:r>
    </w:p>
    <w:p w14:paraId="4EA192F7" w14:textId="24AEA6FA" w:rsidR="006C191A" w:rsidRPr="006C191A" w:rsidRDefault="006C191A" w:rsidP="006C191A">
      <w:pPr>
        <w:spacing w:after="0" w:line="240" w:lineRule="auto"/>
        <w:jc w:val="both"/>
        <w:rPr>
          <w:rFonts w:ascii="Arial" w:eastAsia="Times New Roman" w:hAnsi="Arial" w:cs="Arial"/>
          <w:kern w:val="0"/>
          <w:sz w:val="20"/>
          <w:szCs w:val="20"/>
          <w:lang w:eastAsia="en-GB"/>
          <w14:ligatures w14:val="none"/>
        </w:rPr>
      </w:pPr>
    </w:p>
    <w:p w14:paraId="278FF462"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Results</w:t>
      </w:r>
    </w:p>
    <w:p w14:paraId="589F2798" w14:textId="77777777" w:rsidR="006C191A" w:rsidRPr="00FE0B7B"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FE0B7B">
        <w:rPr>
          <w:rFonts w:ascii="Arial" w:eastAsia="Times New Roman" w:hAnsi="Arial" w:cs="Arial"/>
          <w:i/>
          <w:iCs/>
          <w:color w:val="0F1115"/>
          <w:kern w:val="0"/>
          <w:sz w:val="20"/>
          <w:szCs w:val="20"/>
          <w:lang w:eastAsia="en-GB"/>
          <w14:ligatures w14:val="none"/>
        </w:rPr>
        <w:t>Demographic and Clinical Characteristics</w:t>
      </w:r>
    </w:p>
    <w:p w14:paraId="6CBEE3CF"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The demographic characteristics of the study participants are summarised in Table 1. The mean age of epilepsy patients was 33.24±8.31 years (range 18–75 years), and that of controls was 32.18±7.11 years (range 18–56 years), with no significant difference between the groups (P=0.681). The age distribution across categories (&lt;20, 20</w:t>
      </w:r>
      <w:r w:rsidRPr="006C191A">
        <w:rPr>
          <w:rFonts w:ascii="Arial" w:eastAsia="Times New Roman" w:hAnsi="Arial" w:cs="Arial"/>
          <w:color w:val="0F1115"/>
          <w:kern w:val="0"/>
          <w:sz w:val="20"/>
          <w:szCs w:val="20"/>
          <w:lang w:eastAsia="en-GB"/>
          <w14:ligatures w14:val="none"/>
        </w:rPr>
        <w:noBreakHyphen/>
        <w:t>29, 30</w:t>
      </w:r>
      <w:r w:rsidRPr="006C191A">
        <w:rPr>
          <w:rFonts w:ascii="Arial" w:eastAsia="Times New Roman" w:hAnsi="Arial" w:cs="Arial"/>
          <w:color w:val="0F1115"/>
          <w:kern w:val="0"/>
          <w:sz w:val="20"/>
          <w:szCs w:val="20"/>
          <w:lang w:eastAsia="en-GB"/>
          <w14:ligatures w14:val="none"/>
        </w:rPr>
        <w:noBreakHyphen/>
        <w:t>39, ≥40 years) also did not differ significantly between patients and controls (P=0.626). The majority of epilepsy patients were in the 20–29 years age group (30.0%).</w:t>
      </w:r>
    </w:p>
    <w:p w14:paraId="7236641F"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Regarding sex, the epilepsy group comprised 34 males (68.0%) and 16 females (32.0%), while the control group comprised 30 males (60.0%) and 20 females (40.0%). The sex distribution was comparable between the two groups (P=0.405). Within the epilepsy group, there was a significant male predominance (P=0.017), whereas within the control group, the sex distribution was not significantly different from equality (P=0.208).</w:t>
      </w:r>
    </w:p>
    <w:p w14:paraId="2BABF711"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Among the epilepsy patients, 22 (44.0%) had a disease duration of ≤10 years and 28 (56.0%) had a disease duration of &gt;10 years.</w:t>
      </w:r>
    </w:p>
    <w:p w14:paraId="6684A980"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num="2" w:space="432"/>
          <w:titlePg/>
          <w:docGrid w:linePitch="360"/>
        </w:sectPr>
      </w:pPr>
    </w:p>
    <w:p w14:paraId="6947BDA9" w14:textId="77777777" w:rsidR="003C139A" w:rsidRPr="006C191A" w:rsidRDefault="003C139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F32201D" w14:textId="77777777" w:rsidR="006C191A" w:rsidRPr="003C139A" w:rsidRDefault="006C191A" w:rsidP="003C139A">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3C139A">
        <w:rPr>
          <w:rFonts w:ascii="Arial" w:eastAsia="Times New Roman" w:hAnsi="Arial" w:cs="Arial"/>
          <w:b/>
          <w:bCs/>
          <w:color w:val="0F1115"/>
          <w:kern w:val="0"/>
          <w:sz w:val="20"/>
          <w:szCs w:val="20"/>
          <w:lang w:eastAsia="en-GB"/>
          <w14:ligatures w14:val="none"/>
        </w:rPr>
        <w:t>Table 1: Demographic and clinical characteristics of the study groups</w:t>
      </w:r>
    </w:p>
    <w:tbl>
      <w:tblPr>
        <w:tblW w:w="9180" w:type="dxa"/>
        <w:jc w:val="center"/>
        <w:tblLook w:val="04A0" w:firstRow="1" w:lastRow="0" w:firstColumn="1" w:lastColumn="0" w:noHBand="0" w:noVBand="1"/>
      </w:tblPr>
      <w:tblGrid>
        <w:gridCol w:w="3151"/>
        <w:gridCol w:w="2519"/>
        <w:gridCol w:w="2520"/>
        <w:gridCol w:w="990"/>
      </w:tblGrid>
      <w:tr w:rsidR="00856A6E" w:rsidRPr="00856A6E" w14:paraId="19F61636" w14:textId="77777777" w:rsidTr="00F903CF">
        <w:trPr>
          <w:trHeight w:val="50"/>
          <w:jc w:val="center"/>
        </w:trPr>
        <w:tc>
          <w:tcPr>
            <w:tcW w:w="3151" w:type="dxa"/>
            <w:tcBorders>
              <w:top w:val="single" w:sz="4" w:space="0" w:color="auto"/>
              <w:left w:val="nil"/>
              <w:bottom w:val="single" w:sz="4" w:space="0" w:color="auto"/>
              <w:right w:val="nil"/>
            </w:tcBorders>
            <w:noWrap/>
            <w:vAlign w:val="center"/>
            <w:hideMark/>
          </w:tcPr>
          <w:p w14:paraId="1364BBBF" w14:textId="77777777" w:rsidR="00856A6E" w:rsidRPr="00856A6E" w:rsidRDefault="00856A6E" w:rsidP="00F903CF">
            <w:pPr>
              <w:spacing w:after="0" w:line="240" w:lineRule="auto"/>
              <w:jc w:val="center"/>
              <w:rPr>
                <w:rFonts w:ascii="Arial" w:eastAsia="Times New Roman" w:hAnsi="Arial" w:cs="Arial"/>
                <w:b/>
                <w:bCs/>
                <w:color w:val="000000"/>
                <w:kern w:val="0"/>
                <w:sz w:val="20"/>
                <w:szCs w:val="20"/>
                <w:lang w:eastAsia="en-GB"/>
                <w14:ligatures w14:val="none"/>
              </w:rPr>
            </w:pPr>
            <w:r w:rsidRPr="00856A6E">
              <w:rPr>
                <w:rFonts w:ascii="Arial" w:eastAsia="Times New Roman" w:hAnsi="Arial" w:cs="Arial"/>
                <w:b/>
                <w:bCs/>
                <w:color w:val="000000"/>
                <w:kern w:val="0"/>
                <w:sz w:val="20"/>
                <w:szCs w:val="20"/>
                <w:lang w:eastAsia="en-GB"/>
                <w14:ligatures w14:val="none"/>
              </w:rPr>
              <w:t>Characteristic</w:t>
            </w:r>
          </w:p>
        </w:tc>
        <w:tc>
          <w:tcPr>
            <w:tcW w:w="2519" w:type="dxa"/>
            <w:tcBorders>
              <w:top w:val="single" w:sz="4" w:space="0" w:color="auto"/>
              <w:left w:val="nil"/>
              <w:bottom w:val="single" w:sz="4" w:space="0" w:color="auto"/>
              <w:right w:val="nil"/>
            </w:tcBorders>
            <w:noWrap/>
            <w:vAlign w:val="center"/>
            <w:hideMark/>
          </w:tcPr>
          <w:p w14:paraId="1A833979" w14:textId="539778C6" w:rsidR="00856A6E" w:rsidRPr="00856A6E" w:rsidRDefault="00856A6E" w:rsidP="00F903CF">
            <w:pPr>
              <w:spacing w:after="0" w:line="240" w:lineRule="auto"/>
              <w:jc w:val="center"/>
              <w:rPr>
                <w:rFonts w:ascii="Arial" w:eastAsia="Times New Roman" w:hAnsi="Arial" w:cs="Arial"/>
                <w:b/>
                <w:bCs/>
                <w:color w:val="000000"/>
                <w:kern w:val="0"/>
                <w:sz w:val="20"/>
                <w:szCs w:val="20"/>
                <w:lang w:eastAsia="en-GB"/>
                <w14:ligatures w14:val="none"/>
              </w:rPr>
            </w:pPr>
            <w:r w:rsidRPr="00856A6E">
              <w:rPr>
                <w:rFonts w:ascii="Arial" w:eastAsia="Times New Roman" w:hAnsi="Arial" w:cs="Arial"/>
                <w:b/>
                <w:bCs/>
                <w:color w:val="000000"/>
                <w:kern w:val="0"/>
                <w:sz w:val="20"/>
                <w:szCs w:val="20"/>
                <w:lang w:eastAsia="en-GB"/>
                <w14:ligatures w14:val="none"/>
              </w:rPr>
              <w:t>Epilepsy patients</w:t>
            </w:r>
            <w:r w:rsidR="00F903CF">
              <w:rPr>
                <w:rFonts w:ascii="Arial" w:eastAsia="Times New Roman" w:hAnsi="Arial" w:cs="Arial"/>
                <w:b/>
                <w:bCs/>
                <w:color w:val="000000"/>
                <w:kern w:val="0"/>
                <w:sz w:val="20"/>
                <w:szCs w:val="20"/>
                <w:lang w:eastAsia="en-GB"/>
                <w14:ligatures w14:val="none"/>
              </w:rPr>
              <w:t xml:space="preserve"> </w:t>
            </w:r>
            <w:r w:rsidRPr="00856A6E">
              <w:rPr>
                <w:rFonts w:ascii="Arial" w:eastAsia="Times New Roman" w:hAnsi="Arial" w:cs="Arial"/>
                <w:b/>
                <w:bCs/>
                <w:color w:val="000000"/>
                <w:kern w:val="0"/>
                <w:sz w:val="20"/>
                <w:szCs w:val="20"/>
                <w:lang w:eastAsia="en-GB"/>
                <w14:ligatures w14:val="none"/>
              </w:rPr>
              <w:t>(n=50)</w:t>
            </w:r>
          </w:p>
        </w:tc>
        <w:tc>
          <w:tcPr>
            <w:tcW w:w="2520" w:type="dxa"/>
            <w:tcBorders>
              <w:top w:val="single" w:sz="4" w:space="0" w:color="auto"/>
              <w:left w:val="nil"/>
              <w:bottom w:val="single" w:sz="4" w:space="0" w:color="auto"/>
              <w:right w:val="nil"/>
            </w:tcBorders>
            <w:noWrap/>
            <w:vAlign w:val="center"/>
            <w:hideMark/>
          </w:tcPr>
          <w:p w14:paraId="37409B71" w14:textId="77777777" w:rsidR="00856A6E" w:rsidRPr="00856A6E" w:rsidRDefault="00856A6E" w:rsidP="00F903CF">
            <w:pPr>
              <w:spacing w:after="0" w:line="240" w:lineRule="auto"/>
              <w:jc w:val="center"/>
              <w:rPr>
                <w:rFonts w:ascii="Arial" w:eastAsia="Times New Roman" w:hAnsi="Arial" w:cs="Arial"/>
                <w:b/>
                <w:bCs/>
                <w:color w:val="000000"/>
                <w:kern w:val="0"/>
                <w:sz w:val="20"/>
                <w:szCs w:val="20"/>
                <w:lang w:eastAsia="en-GB"/>
                <w14:ligatures w14:val="none"/>
              </w:rPr>
            </w:pPr>
            <w:r w:rsidRPr="00856A6E">
              <w:rPr>
                <w:rFonts w:ascii="Arial" w:eastAsia="Times New Roman" w:hAnsi="Arial" w:cs="Arial"/>
                <w:b/>
                <w:bCs/>
                <w:color w:val="000000"/>
                <w:kern w:val="0"/>
                <w:sz w:val="20"/>
                <w:szCs w:val="20"/>
                <w:lang w:eastAsia="en-GB"/>
                <w14:ligatures w14:val="none"/>
              </w:rPr>
              <w:t>Healthy controls (n=50)</w:t>
            </w:r>
          </w:p>
        </w:tc>
        <w:tc>
          <w:tcPr>
            <w:tcW w:w="990" w:type="dxa"/>
            <w:tcBorders>
              <w:top w:val="single" w:sz="4" w:space="0" w:color="auto"/>
              <w:left w:val="nil"/>
              <w:bottom w:val="single" w:sz="4" w:space="0" w:color="auto"/>
              <w:right w:val="nil"/>
            </w:tcBorders>
            <w:noWrap/>
            <w:vAlign w:val="center"/>
            <w:hideMark/>
          </w:tcPr>
          <w:p w14:paraId="449818A4" w14:textId="77777777" w:rsidR="00856A6E" w:rsidRPr="00856A6E" w:rsidRDefault="00856A6E" w:rsidP="00F903CF">
            <w:pPr>
              <w:spacing w:after="0" w:line="240" w:lineRule="auto"/>
              <w:jc w:val="center"/>
              <w:rPr>
                <w:rFonts w:ascii="Arial" w:eastAsia="Times New Roman" w:hAnsi="Arial" w:cs="Arial"/>
                <w:b/>
                <w:bCs/>
                <w:color w:val="000000"/>
                <w:kern w:val="0"/>
                <w:sz w:val="20"/>
                <w:szCs w:val="20"/>
                <w:lang w:eastAsia="en-GB"/>
                <w14:ligatures w14:val="none"/>
              </w:rPr>
            </w:pPr>
            <w:r w:rsidRPr="00856A6E">
              <w:rPr>
                <w:rFonts w:ascii="Arial" w:eastAsia="Times New Roman" w:hAnsi="Arial" w:cs="Arial"/>
                <w:b/>
                <w:bCs/>
                <w:color w:val="000000"/>
                <w:kern w:val="0"/>
                <w:sz w:val="20"/>
                <w:szCs w:val="20"/>
                <w:lang w:eastAsia="en-GB"/>
                <w14:ligatures w14:val="none"/>
              </w:rPr>
              <w:t>P-value</w:t>
            </w:r>
          </w:p>
        </w:tc>
      </w:tr>
      <w:tr w:rsidR="00856A6E" w:rsidRPr="00F903CF" w14:paraId="5A5A360F" w14:textId="77777777" w:rsidTr="00F903CF">
        <w:trPr>
          <w:trHeight w:val="50"/>
          <w:jc w:val="center"/>
        </w:trPr>
        <w:tc>
          <w:tcPr>
            <w:tcW w:w="3151" w:type="dxa"/>
            <w:tcBorders>
              <w:top w:val="nil"/>
              <w:left w:val="nil"/>
              <w:bottom w:val="nil"/>
              <w:right w:val="nil"/>
            </w:tcBorders>
            <w:noWrap/>
            <w:vAlign w:val="center"/>
            <w:hideMark/>
          </w:tcPr>
          <w:p w14:paraId="10BEC5CD" w14:textId="77777777" w:rsidR="00856A6E" w:rsidRPr="00F903CF" w:rsidRDefault="00856A6E" w:rsidP="00856A6E">
            <w:pPr>
              <w:spacing w:after="0" w:line="240" w:lineRule="auto"/>
              <w:rPr>
                <w:rFonts w:ascii="Arial" w:eastAsia="Times New Roman" w:hAnsi="Arial" w:cs="Arial"/>
                <w:color w:val="000000"/>
                <w:kern w:val="0"/>
                <w:sz w:val="20"/>
                <w:szCs w:val="20"/>
                <w:lang w:eastAsia="en-GB"/>
                <w14:ligatures w14:val="none"/>
              </w:rPr>
            </w:pPr>
            <w:r w:rsidRPr="00F903CF">
              <w:rPr>
                <w:rFonts w:ascii="Arial" w:eastAsia="Times New Roman" w:hAnsi="Arial" w:cs="Arial"/>
                <w:color w:val="000000"/>
                <w:kern w:val="0"/>
                <w:sz w:val="20"/>
                <w:szCs w:val="20"/>
                <w:lang w:eastAsia="en-GB"/>
                <w14:ligatures w14:val="none"/>
              </w:rPr>
              <w:t>Age (years)</w:t>
            </w:r>
          </w:p>
        </w:tc>
        <w:tc>
          <w:tcPr>
            <w:tcW w:w="2519" w:type="dxa"/>
            <w:tcBorders>
              <w:top w:val="nil"/>
              <w:left w:val="nil"/>
              <w:bottom w:val="nil"/>
              <w:right w:val="nil"/>
            </w:tcBorders>
            <w:noWrap/>
            <w:vAlign w:val="center"/>
            <w:hideMark/>
          </w:tcPr>
          <w:p w14:paraId="01B6F516" w14:textId="77777777" w:rsidR="00856A6E" w:rsidRPr="00F903CF"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c>
          <w:tcPr>
            <w:tcW w:w="2520" w:type="dxa"/>
            <w:tcBorders>
              <w:top w:val="nil"/>
              <w:left w:val="nil"/>
              <w:bottom w:val="nil"/>
              <w:right w:val="nil"/>
            </w:tcBorders>
            <w:noWrap/>
            <w:vAlign w:val="center"/>
            <w:hideMark/>
          </w:tcPr>
          <w:p w14:paraId="62E4F587" w14:textId="77777777" w:rsidR="00856A6E" w:rsidRPr="00F903CF" w:rsidRDefault="00856A6E" w:rsidP="00F903CF">
            <w:pPr>
              <w:spacing w:after="0" w:line="240" w:lineRule="auto"/>
              <w:jc w:val="center"/>
              <w:rPr>
                <w:rFonts w:ascii="Times New Roman" w:eastAsia="Times New Roman" w:hAnsi="Times New Roman" w:cs="Times New Roman"/>
                <w:kern w:val="0"/>
                <w:sz w:val="20"/>
                <w:szCs w:val="20"/>
                <w:lang w:eastAsia="en-GB"/>
                <w14:ligatures w14:val="none"/>
              </w:rPr>
            </w:pPr>
          </w:p>
        </w:tc>
        <w:tc>
          <w:tcPr>
            <w:tcW w:w="990" w:type="dxa"/>
            <w:tcBorders>
              <w:top w:val="nil"/>
              <w:left w:val="nil"/>
              <w:bottom w:val="nil"/>
              <w:right w:val="nil"/>
            </w:tcBorders>
            <w:noWrap/>
            <w:vAlign w:val="center"/>
            <w:hideMark/>
          </w:tcPr>
          <w:p w14:paraId="04AC2027" w14:textId="77777777" w:rsidR="00856A6E" w:rsidRPr="00F903CF" w:rsidRDefault="00856A6E" w:rsidP="00F903CF">
            <w:pPr>
              <w:spacing w:after="0" w:line="240" w:lineRule="auto"/>
              <w:jc w:val="center"/>
              <w:rPr>
                <w:rFonts w:ascii="Times New Roman" w:eastAsia="Times New Roman" w:hAnsi="Times New Roman" w:cs="Times New Roman"/>
                <w:kern w:val="0"/>
                <w:sz w:val="20"/>
                <w:szCs w:val="20"/>
                <w:lang w:eastAsia="en-GB"/>
                <w14:ligatures w14:val="none"/>
              </w:rPr>
            </w:pPr>
          </w:p>
        </w:tc>
      </w:tr>
      <w:tr w:rsidR="00856A6E" w:rsidRPr="00856A6E" w14:paraId="198FF3C0" w14:textId="77777777" w:rsidTr="00F903CF">
        <w:trPr>
          <w:trHeight w:val="60"/>
          <w:jc w:val="center"/>
        </w:trPr>
        <w:tc>
          <w:tcPr>
            <w:tcW w:w="3151" w:type="dxa"/>
            <w:tcBorders>
              <w:top w:val="nil"/>
              <w:left w:val="nil"/>
              <w:bottom w:val="nil"/>
              <w:right w:val="nil"/>
            </w:tcBorders>
            <w:noWrap/>
            <w:vAlign w:val="center"/>
            <w:hideMark/>
          </w:tcPr>
          <w:p w14:paraId="51D8B8A3"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Mean ± SD</w:t>
            </w:r>
          </w:p>
        </w:tc>
        <w:tc>
          <w:tcPr>
            <w:tcW w:w="2519" w:type="dxa"/>
            <w:tcBorders>
              <w:top w:val="nil"/>
              <w:left w:val="nil"/>
              <w:bottom w:val="nil"/>
              <w:right w:val="nil"/>
            </w:tcBorders>
            <w:noWrap/>
            <w:vAlign w:val="center"/>
            <w:hideMark/>
          </w:tcPr>
          <w:p w14:paraId="0230213B"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33.24 ± 8.31</w:t>
            </w:r>
          </w:p>
        </w:tc>
        <w:tc>
          <w:tcPr>
            <w:tcW w:w="2520" w:type="dxa"/>
            <w:tcBorders>
              <w:top w:val="nil"/>
              <w:left w:val="nil"/>
              <w:bottom w:val="nil"/>
              <w:right w:val="nil"/>
            </w:tcBorders>
            <w:noWrap/>
            <w:vAlign w:val="center"/>
            <w:hideMark/>
          </w:tcPr>
          <w:p w14:paraId="0B778A03"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32.18 ± 7.11</w:t>
            </w:r>
          </w:p>
        </w:tc>
        <w:tc>
          <w:tcPr>
            <w:tcW w:w="990" w:type="dxa"/>
            <w:tcBorders>
              <w:top w:val="nil"/>
              <w:left w:val="nil"/>
              <w:bottom w:val="nil"/>
              <w:right w:val="nil"/>
            </w:tcBorders>
            <w:noWrap/>
            <w:vAlign w:val="center"/>
            <w:hideMark/>
          </w:tcPr>
          <w:p w14:paraId="03F643B4"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0.681†</w:t>
            </w:r>
          </w:p>
        </w:tc>
      </w:tr>
      <w:tr w:rsidR="00856A6E" w:rsidRPr="00856A6E" w14:paraId="22E5224F" w14:textId="77777777" w:rsidTr="00F903CF">
        <w:trPr>
          <w:trHeight w:val="60"/>
          <w:jc w:val="center"/>
        </w:trPr>
        <w:tc>
          <w:tcPr>
            <w:tcW w:w="3151" w:type="dxa"/>
            <w:tcBorders>
              <w:top w:val="nil"/>
              <w:left w:val="nil"/>
              <w:bottom w:val="nil"/>
              <w:right w:val="nil"/>
            </w:tcBorders>
            <w:noWrap/>
            <w:vAlign w:val="center"/>
            <w:hideMark/>
          </w:tcPr>
          <w:p w14:paraId="4286CD24"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Range</w:t>
            </w:r>
          </w:p>
        </w:tc>
        <w:tc>
          <w:tcPr>
            <w:tcW w:w="2519" w:type="dxa"/>
            <w:tcBorders>
              <w:top w:val="nil"/>
              <w:left w:val="nil"/>
              <w:bottom w:val="nil"/>
              <w:right w:val="nil"/>
            </w:tcBorders>
            <w:noWrap/>
            <w:vAlign w:val="center"/>
            <w:hideMark/>
          </w:tcPr>
          <w:p w14:paraId="4878C075"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18–75</w:t>
            </w:r>
          </w:p>
        </w:tc>
        <w:tc>
          <w:tcPr>
            <w:tcW w:w="2520" w:type="dxa"/>
            <w:tcBorders>
              <w:top w:val="nil"/>
              <w:left w:val="nil"/>
              <w:bottom w:val="nil"/>
              <w:right w:val="nil"/>
            </w:tcBorders>
            <w:noWrap/>
            <w:vAlign w:val="center"/>
            <w:hideMark/>
          </w:tcPr>
          <w:p w14:paraId="5B7C354C"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18–56</w:t>
            </w:r>
          </w:p>
        </w:tc>
        <w:tc>
          <w:tcPr>
            <w:tcW w:w="990" w:type="dxa"/>
            <w:tcBorders>
              <w:top w:val="nil"/>
              <w:left w:val="nil"/>
              <w:bottom w:val="nil"/>
              <w:right w:val="nil"/>
            </w:tcBorders>
            <w:noWrap/>
            <w:vAlign w:val="center"/>
            <w:hideMark/>
          </w:tcPr>
          <w:p w14:paraId="47159AEC"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1C360C52" w14:textId="77777777" w:rsidTr="00F903CF">
        <w:trPr>
          <w:trHeight w:val="60"/>
          <w:jc w:val="center"/>
        </w:trPr>
        <w:tc>
          <w:tcPr>
            <w:tcW w:w="3151" w:type="dxa"/>
            <w:tcBorders>
              <w:top w:val="nil"/>
              <w:left w:val="nil"/>
              <w:bottom w:val="nil"/>
              <w:right w:val="nil"/>
            </w:tcBorders>
            <w:noWrap/>
            <w:vAlign w:val="center"/>
            <w:hideMark/>
          </w:tcPr>
          <w:p w14:paraId="4B61EA9E"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Age group, n (%)</w:t>
            </w:r>
          </w:p>
        </w:tc>
        <w:tc>
          <w:tcPr>
            <w:tcW w:w="2519" w:type="dxa"/>
            <w:tcBorders>
              <w:top w:val="nil"/>
              <w:left w:val="nil"/>
              <w:bottom w:val="nil"/>
              <w:right w:val="nil"/>
            </w:tcBorders>
            <w:noWrap/>
            <w:vAlign w:val="center"/>
            <w:hideMark/>
          </w:tcPr>
          <w:p w14:paraId="067298E7"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c>
          <w:tcPr>
            <w:tcW w:w="2520" w:type="dxa"/>
            <w:tcBorders>
              <w:top w:val="nil"/>
              <w:left w:val="nil"/>
              <w:bottom w:val="nil"/>
              <w:right w:val="nil"/>
            </w:tcBorders>
            <w:noWrap/>
            <w:vAlign w:val="center"/>
            <w:hideMark/>
          </w:tcPr>
          <w:p w14:paraId="75607FCD" w14:textId="77777777" w:rsidR="00856A6E" w:rsidRPr="00856A6E" w:rsidRDefault="00856A6E" w:rsidP="00F903CF">
            <w:pPr>
              <w:spacing w:after="0" w:line="240" w:lineRule="auto"/>
              <w:jc w:val="center"/>
              <w:rPr>
                <w:rFonts w:ascii="Times New Roman" w:eastAsia="Times New Roman" w:hAnsi="Times New Roman" w:cs="Times New Roman"/>
                <w:kern w:val="0"/>
                <w:sz w:val="20"/>
                <w:szCs w:val="20"/>
                <w:lang w:eastAsia="en-GB"/>
                <w14:ligatures w14:val="none"/>
              </w:rPr>
            </w:pPr>
          </w:p>
        </w:tc>
        <w:tc>
          <w:tcPr>
            <w:tcW w:w="990" w:type="dxa"/>
            <w:tcBorders>
              <w:top w:val="nil"/>
              <w:left w:val="nil"/>
              <w:bottom w:val="nil"/>
              <w:right w:val="nil"/>
            </w:tcBorders>
            <w:noWrap/>
            <w:vAlign w:val="center"/>
            <w:hideMark/>
          </w:tcPr>
          <w:p w14:paraId="1213C9EC"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0.626¥</w:t>
            </w:r>
          </w:p>
        </w:tc>
      </w:tr>
      <w:tr w:rsidR="00856A6E" w:rsidRPr="00856A6E" w14:paraId="2DB7AD59" w14:textId="77777777" w:rsidTr="00F903CF">
        <w:trPr>
          <w:trHeight w:val="60"/>
          <w:jc w:val="center"/>
        </w:trPr>
        <w:tc>
          <w:tcPr>
            <w:tcW w:w="3151" w:type="dxa"/>
            <w:tcBorders>
              <w:top w:val="nil"/>
              <w:left w:val="nil"/>
              <w:bottom w:val="nil"/>
              <w:right w:val="nil"/>
            </w:tcBorders>
            <w:noWrap/>
            <w:vAlign w:val="center"/>
            <w:hideMark/>
          </w:tcPr>
          <w:p w14:paraId="6083785C"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&lt;20 years</w:t>
            </w:r>
          </w:p>
        </w:tc>
        <w:tc>
          <w:tcPr>
            <w:tcW w:w="2519" w:type="dxa"/>
            <w:tcBorders>
              <w:top w:val="nil"/>
              <w:left w:val="nil"/>
              <w:bottom w:val="nil"/>
              <w:right w:val="nil"/>
            </w:tcBorders>
            <w:noWrap/>
            <w:vAlign w:val="center"/>
            <w:hideMark/>
          </w:tcPr>
          <w:p w14:paraId="2EAD41B5"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10 (20.0)</w:t>
            </w:r>
          </w:p>
        </w:tc>
        <w:tc>
          <w:tcPr>
            <w:tcW w:w="2520" w:type="dxa"/>
            <w:tcBorders>
              <w:top w:val="nil"/>
              <w:left w:val="nil"/>
              <w:bottom w:val="nil"/>
              <w:right w:val="nil"/>
            </w:tcBorders>
            <w:noWrap/>
            <w:vAlign w:val="center"/>
            <w:hideMark/>
          </w:tcPr>
          <w:p w14:paraId="47BE7FE4"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6 (12.0)</w:t>
            </w:r>
          </w:p>
        </w:tc>
        <w:tc>
          <w:tcPr>
            <w:tcW w:w="990" w:type="dxa"/>
            <w:tcBorders>
              <w:top w:val="nil"/>
              <w:left w:val="nil"/>
              <w:bottom w:val="nil"/>
              <w:right w:val="nil"/>
            </w:tcBorders>
            <w:noWrap/>
            <w:vAlign w:val="center"/>
            <w:hideMark/>
          </w:tcPr>
          <w:p w14:paraId="723D1E13"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434C46B2" w14:textId="77777777" w:rsidTr="00F903CF">
        <w:trPr>
          <w:trHeight w:val="60"/>
          <w:jc w:val="center"/>
        </w:trPr>
        <w:tc>
          <w:tcPr>
            <w:tcW w:w="3151" w:type="dxa"/>
            <w:tcBorders>
              <w:top w:val="nil"/>
              <w:left w:val="nil"/>
              <w:bottom w:val="nil"/>
              <w:right w:val="nil"/>
            </w:tcBorders>
            <w:noWrap/>
            <w:vAlign w:val="center"/>
            <w:hideMark/>
          </w:tcPr>
          <w:p w14:paraId="7A81FF47"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20–29 years</w:t>
            </w:r>
          </w:p>
        </w:tc>
        <w:tc>
          <w:tcPr>
            <w:tcW w:w="2519" w:type="dxa"/>
            <w:tcBorders>
              <w:top w:val="nil"/>
              <w:left w:val="nil"/>
              <w:bottom w:val="nil"/>
              <w:right w:val="nil"/>
            </w:tcBorders>
            <w:noWrap/>
            <w:vAlign w:val="center"/>
            <w:hideMark/>
          </w:tcPr>
          <w:p w14:paraId="682B3FBA"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15 (30.0)</w:t>
            </w:r>
          </w:p>
        </w:tc>
        <w:tc>
          <w:tcPr>
            <w:tcW w:w="2520" w:type="dxa"/>
            <w:tcBorders>
              <w:top w:val="nil"/>
              <w:left w:val="nil"/>
              <w:bottom w:val="nil"/>
              <w:right w:val="nil"/>
            </w:tcBorders>
            <w:noWrap/>
            <w:vAlign w:val="center"/>
            <w:hideMark/>
          </w:tcPr>
          <w:p w14:paraId="5E38A300"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20 (40.0)</w:t>
            </w:r>
          </w:p>
        </w:tc>
        <w:tc>
          <w:tcPr>
            <w:tcW w:w="990" w:type="dxa"/>
            <w:tcBorders>
              <w:top w:val="nil"/>
              <w:left w:val="nil"/>
              <w:bottom w:val="nil"/>
              <w:right w:val="nil"/>
            </w:tcBorders>
            <w:noWrap/>
            <w:vAlign w:val="center"/>
            <w:hideMark/>
          </w:tcPr>
          <w:p w14:paraId="3DD22E70"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5FBCDA40" w14:textId="77777777" w:rsidTr="00F903CF">
        <w:trPr>
          <w:trHeight w:val="60"/>
          <w:jc w:val="center"/>
        </w:trPr>
        <w:tc>
          <w:tcPr>
            <w:tcW w:w="3151" w:type="dxa"/>
            <w:tcBorders>
              <w:top w:val="nil"/>
              <w:left w:val="nil"/>
              <w:bottom w:val="nil"/>
              <w:right w:val="nil"/>
            </w:tcBorders>
            <w:noWrap/>
            <w:vAlign w:val="center"/>
            <w:hideMark/>
          </w:tcPr>
          <w:p w14:paraId="6040E37E"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30–39 years</w:t>
            </w:r>
          </w:p>
        </w:tc>
        <w:tc>
          <w:tcPr>
            <w:tcW w:w="2519" w:type="dxa"/>
            <w:tcBorders>
              <w:top w:val="nil"/>
              <w:left w:val="nil"/>
              <w:bottom w:val="nil"/>
              <w:right w:val="nil"/>
            </w:tcBorders>
            <w:noWrap/>
            <w:vAlign w:val="center"/>
            <w:hideMark/>
          </w:tcPr>
          <w:p w14:paraId="346447E5"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13 (26.0)</w:t>
            </w:r>
          </w:p>
        </w:tc>
        <w:tc>
          <w:tcPr>
            <w:tcW w:w="2520" w:type="dxa"/>
            <w:tcBorders>
              <w:top w:val="nil"/>
              <w:left w:val="nil"/>
              <w:bottom w:val="nil"/>
              <w:right w:val="nil"/>
            </w:tcBorders>
            <w:noWrap/>
            <w:vAlign w:val="center"/>
            <w:hideMark/>
          </w:tcPr>
          <w:p w14:paraId="0626DDFB"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11 (22.0)</w:t>
            </w:r>
          </w:p>
        </w:tc>
        <w:tc>
          <w:tcPr>
            <w:tcW w:w="990" w:type="dxa"/>
            <w:tcBorders>
              <w:top w:val="nil"/>
              <w:left w:val="nil"/>
              <w:bottom w:val="nil"/>
              <w:right w:val="nil"/>
            </w:tcBorders>
            <w:noWrap/>
            <w:vAlign w:val="center"/>
            <w:hideMark/>
          </w:tcPr>
          <w:p w14:paraId="1C1EAC18"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6AF3D386" w14:textId="77777777" w:rsidTr="00F903CF">
        <w:trPr>
          <w:trHeight w:val="60"/>
          <w:jc w:val="center"/>
        </w:trPr>
        <w:tc>
          <w:tcPr>
            <w:tcW w:w="3151" w:type="dxa"/>
            <w:tcBorders>
              <w:top w:val="nil"/>
              <w:left w:val="nil"/>
              <w:bottom w:val="nil"/>
              <w:right w:val="nil"/>
            </w:tcBorders>
            <w:noWrap/>
            <w:vAlign w:val="center"/>
            <w:hideMark/>
          </w:tcPr>
          <w:p w14:paraId="6B0DB8AB"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≥40 years</w:t>
            </w:r>
          </w:p>
        </w:tc>
        <w:tc>
          <w:tcPr>
            <w:tcW w:w="2519" w:type="dxa"/>
            <w:tcBorders>
              <w:top w:val="nil"/>
              <w:left w:val="nil"/>
              <w:bottom w:val="nil"/>
              <w:right w:val="nil"/>
            </w:tcBorders>
            <w:noWrap/>
            <w:vAlign w:val="center"/>
            <w:hideMark/>
          </w:tcPr>
          <w:p w14:paraId="087255C9"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12 (24.0)</w:t>
            </w:r>
          </w:p>
        </w:tc>
        <w:tc>
          <w:tcPr>
            <w:tcW w:w="2520" w:type="dxa"/>
            <w:tcBorders>
              <w:top w:val="nil"/>
              <w:left w:val="nil"/>
              <w:bottom w:val="nil"/>
              <w:right w:val="nil"/>
            </w:tcBorders>
            <w:noWrap/>
            <w:vAlign w:val="center"/>
            <w:hideMark/>
          </w:tcPr>
          <w:p w14:paraId="2551B598"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13 (26.0)</w:t>
            </w:r>
          </w:p>
        </w:tc>
        <w:tc>
          <w:tcPr>
            <w:tcW w:w="990" w:type="dxa"/>
            <w:tcBorders>
              <w:top w:val="nil"/>
              <w:left w:val="nil"/>
              <w:bottom w:val="nil"/>
              <w:right w:val="nil"/>
            </w:tcBorders>
            <w:noWrap/>
            <w:vAlign w:val="center"/>
            <w:hideMark/>
          </w:tcPr>
          <w:p w14:paraId="4AB05D30"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6C3F01AB" w14:textId="77777777" w:rsidTr="00F903CF">
        <w:trPr>
          <w:trHeight w:val="60"/>
          <w:jc w:val="center"/>
        </w:trPr>
        <w:tc>
          <w:tcPr>
            <w:tcW w:w="3151" w:type="dxa"/>
            <w:tcBorders>
              <w:top w:val="nil"/>
              <w:left w:val="nil"/>
              <w:bottom w:val="nil"/>
              <w:right w:val="nil"/>
            </w:tcBorders>
            <w:noWrap/>
            <w:vAlign w:val="center"/>
            <w:hideMark/>
          </w:tcPr>
          <w:p w14:paraId="2706BAC3"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Sex, n (%)</w:t>
            </w:r>
          </w:p>
        </w:tc>
        <w:tc>
          <w:tcPr>
            <w:tcW w:w="2519" w:type="dxa"/>
            <w:tcBorders>
              <w:top w:val="nil"/>
              <w:left w:val="nil"/>
              <w:bottom w:val="nil"/>
              <w:right w:val="nil"/>
            </w:tcBorders>
            <w:noWrap/>
            <w:vAlign w:val="center"/>
            <w:hideMark/>
          </w:tcPr>
          <w:p w14:paraId="483780B7"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c>
          <w:tcPr>
            <w:tcW w:w="2520" w:type="dxa"/>
            <w:tcBorders>
              <w:top w:val="nil"/>
              <w:left w:val="nil"/>
              <w:bottom w:val="nil"/>
              <w:right w:val="nil"/>
            </w:tcBorders>
            <w:noWrap/>
            <w:vAlign w:val="center"/>
            <w:hideMark/>
          </w:tcPr>
          <w:p w14:paraId="1451B6F6" w14:textId="77777777" w:rsidR="00856A6E" w:rsidRPr="00856A6E" w:rsidRDefault="00856A6E" w:rsidP="00F903CF">
            <w:pPr>
              <w:spacing w:after="0" w:line="240" w:lineRule="auto"/>
              <w:jc w:val="center"/>
              <w:rPr>
                <w:rFonts w:ascii="Times New Roman" w:eastAsia="Times New Roman" w:hAnsi="Times New Roman" w:cs="Times New Roman"/>
                <w:kern w:val="0"/>
                <w:sz w:val="20"/>
                <w:szCs w:val="20"/>
                <w:lang w:eastAsia="en-GB"/>
                <w14:ligatures w14:val="none"/>
              </w:rPr>
            </w:pPr>
          </w:p>
        </w:tc>
        <w:tc>
          <w:tcPr>
            <w:tcW w:w="990" w:type="dxa"/>
            <w:tcBorders>
              <w:top w:val="nil"/>
              <w:left w:val="nil"/>
              <w:bottom w:val="nil"/>
              <w:right w:val="nil"/>
            </w:tcBorders>
            <w:noWrap/>
            <w:vAlign w:val="center"/>
            <w:hideMark/>
          </w:tcPr>
          <w:p w14:paraId="1DE4C3FA"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0.405¥</w:t>
            </w:r>
          </w:p>
        </w:tc>
      </w:tr>
      <w:tr w:rsidR="00856A6E" w:rsidRPr="00856A6E" w14:paraId="739D56D6" w14:textId="77777777" w:rsidTr="00F903CF">
        <w:trPr>
          <w:trHeight w:val="60"/>
          <w:jc w:val="center"/>
        </w:trPr>
        <w:tc>
          <w:tcPr>
            <w:tcW w:w="3151" w:type="dxa"/>
            <w:tcBorders>
              <w:top w:val="nil"/>
              <w:left w:val="nil"/>
              <w:bottom w:val="nil"/>
              <w:right w:val="nil"/>
            </w:tcBorders>
            <w:noWrap/>
            <w:vAlign w:val="center"/>
            <w:hideMark/>
          </w:tcPr>
          <w:p w14:paraId="482FF1A2"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Male</w:t>
            </w:r>
          </w:p>
        </w:tc>
        <w:tc>
          <w:tcPr>
            <w:tcW w:w="2519" w:type="dxa"/>
            <w:tcBorders>
              <w:top w:val="nil"/>
              <w:left w:val="nil"/>
              <w:bottom w:val="nil"/>
              <w:right w:val="nil"/>
            </w:tcBorders>
            <w:noWrap/>
            <w:vAlign w:val="center"/>
            <w:hideMark/>
          </w:tcPr>
          <w:p w14:paraId="7255BF12"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34 (68.0)</w:t>
            </w:r>
          </w:p>
        </w:tc>
        <w:tc>
          <w:tcPr>
            <w:tcW w:w="2520" w:type="dxa"/>
            <w:tcBorders>
              <w:top w:val="nil"/>
              <w:left w:val="nil"/>
              <w:bottom w:val="nil"/>
              <w:right w:val="nil"/>
            </w:tcBorders>
            <w:noWrap/>
            <w:vAlign w:val="center"/>
            <w:hideMark/>
          </w:tcPr>
          <w:p w14:paraId="5E9012F8"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30 (60.0)</w:t>
            </w:r>
          </w:p>
        </w:tc>
        <w:tc>
          <w:tcPr>
            <w:tcW w:w="990" w:type="dxa"/>
            <w:tcBorders>
              <w:top w:val="nil"/>
              <w:left w:val="nil"/>
              <w:bottom w:val="nil"/>
              <w:right w:val="nil"/>
            </w:tcBorders>
            <w:noWrap/>
            <w:vAlign w:val="center"/>
            <w:hideMark/>
          </w:tcPr>
          <w:p w14:paraId="583490A1"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6DEFD43D" w14:textId="77777777" w:rsidTr="00F903CF">
        <w:trPr>
          <w:trHeight w:val="60"/>
          <w:jc w:val="center"/>
        </w:trPr>
        <w:tc>
          <w:tcPr>
            <w:tcW w:w="3151" w:type="dxa"/>
            <w:tcBorders>
              <w:top w:val="nil"/>
              <w:left w:val="nil"/>
              <w:bottom w:val="nil"/>
              <w:right w:val="nil"/>
            </w:tcBorders>
            <w:noWrap/>
            <w:vAlign w:val="center"/>
            <w:hideMark/>
          </w:tcPr>
          <w:p w14:paraId="76195496"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Female</w:t>
            </w:r>
          </w:p>
        </w:tc>
        <w:tc>
          <w:tcPr>
            <w:tcW w:w="2519" w:type="dxa"/>
            <w:tcBorders>
              <w:top w:val="nil"/>
              <w:left w:val="nil"/>
              <w:bottom w:val="nil"/>
              <w:right w:val="nil"/>
            </w:tcBorders>
            <w:noWrap/>
            <w:vAlign w:val="center"/>
            <w:hideMark/>
          </w:tcPr>
          <w:p w14:paraId="44CF00A5"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16 (32.0)</w:t>
            </w:r>
          </w:p>
        </w:tc>
        <w:tc>
          <w:tcPr>
            <w:tcW w:w="2520" w:type="dxa"/>
            <w:tcBorders>
              <w:top w:val="nil"/>
              <w:left w:val="nil"/>
              <w:bottom w:val="nil"/>
              <w:right w:val="nil"/>
            </w:tcBorders>
            <w:noWrap/>
            <w:vAlign w:val="center"/>
            <w:hideMark/>
          </w:tcPr>
          <w:p w14:paraId="5458810C"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20 (40.0)</w:t>
            </w:r>
          </w:p>
        </w:tc>
        <w:tc>
          <w:tcPr>
            <w:tcW w:w="990" w:type="dxa"/>
            <w:tcBorders>
              <w:top w:val="nil"/>
              <w:left w:val="nil"/>
              <w:bottom w:val="nil"/>
              <w:right w:val="nil"/>
            </w:tcBorders>
            <w:noWrap/>
            <w:vAlign w:val="center"/>
            <w:hideMark/>
          </w:tcPr>
          <w:p w14:paraId="625B91A8"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4018C671" w14:textId="77777777" w:rsidTr="00F903CF">
        <w:trPr>
          <w:trHeight w:val="60"/>
          <w:jc w:val="center"/>
        </w:trPr>
        <w:tc>
          <w:tcPr>
            <w:tcW w:w="3151" w:type="dxa"/>
            <w:tcBorders>
              <w:top w:val="nil"/>
              <w:left w:val="nil"/>
              <w:bottom w:val="nil"/>
              <w:right w:val="nil"/>
            </w:tcBorders>
            <w:noWrap/>
            <w:vAlign w:val="center"/>
            <w:hideMark/>
          </w:tcPr>
          <w:p w14:paraId="24AE0BD1"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Sex distribution within group (P)</w:t>
            </w:r>
          </w:p>
        </w:tc>
        <w:tc>
          <w:tcPr>
            <w:tcW w:w="2519" w:type="dxa"/>
            <w:tcBorders>
              <w:top w:val="nil"/>
              <w:left w:val="nil"/>
              <w:bottom w:val="nil"/>
              <w:right w:val="nil"/>
            </w:tcBorders>
            <w:noWrap/>
            <w:vAlign w:val="center"/>
            <w:hideMark/>
          </w:tcPr>
          <w:p w14:paraId="44081AE1"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0.017</w:t>
            </w:r>
          </w:p>
        </w:tc>
        <w:tc>
          <w:tcPr>
            <w:tcW w:w="2520" w:type="dxa"/>
            <w:tcBorders>
              <w:top w:val="nil"/>
              <w:left w:val="nil"/>
              <w:bottom w:val="nil"/>
              <w:right w:val="nil"/>
            </w:tcBorders>
            <w:noWrap/>
            <w:vAlign w:val="center"/>
            <w:hideMark/>
          </w:tcPr>
          <w:p w14:paraId="05FC0E4C"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0.208</w:t>
            </w:r>
          </w:p>
        </w:tc>
        <w:tc>
          <w:tcPr>
            <w:tcW w:w="990" w:type="dxa"/>
            <w:tcBorders>
              <w:top w:val="nil"/>
              <w:left w:val="nil"/>
              <w:bottom w:val="nil"/>
              <w:right w:val="nil"/>
            </w:tcBorders>
            <w:noWrap/>
            <w:vAlign w:val="center"/>
            <w:hideMark/>
          </w:tcPr>
          <w:p w14:paraId="31BD23F2"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0878BC8E" w14:textId="77777777" w:rsidTr="00F903CF">
        <w:trPr>
          <w:trHeight w:val="60"/>
          <w:jc w:val="center"/>
        </w:trPr>
        <w:tc>
          <w:tcPr>
            <w:tcW w:w="3151" w:type="dxa"/>
            <w:tcBorders>
              <w:top w:val="nil"/>
              <w:left w:val="nil"/>
              <w:bottom w:val="nil"/>
              <w:right w:val="nil"/>
            </w:tcBorders>
            <w:noWrap/>
            <w:vAlign w:val="center"/>
            <w:hideMark/>
          </w:tcPr>
          <w:p w14:paraId="1181BA7D"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Disease duration, n (%)</w:t>
            </w:r>
          </w:p>
        </w:tc>
        <w:tc>
          <w:tcPr>
            <w:tcW w:w="2519" w:type="dxa"/>
            <w:tcBorders>
              <w:top w:val="nil"/>
              <w:left w:val="nil"/>
              <w:bottom w:val="nil"/>
              <w:right w:val="nil"/>
            </w:tcBorders>
            <w:noWrap/>
            <w:vAlign w:val="center"/>
            <w:hideMark/>
          </w:tcPr>
          <w:p w14:paraId="38DC144B"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c>
          <w:tcPr>
            <w:tcW w:w="2520" w:type="dxa"/>
            <w:tcBorders>
              <w:top w:val="nil"/>
              <w:left w:val="nil"/>
              <w:bottom w:val="nil"/>
              <w:right w:val="nil"/>
            </w:tcBorders>
            <w:noWrap/>
            <w:vAlign w:val="center"/>
            <w:hideMark/>
          </w:tcPr>
          <w:p w14:paraId="6E0354A4" w14:textId="77777777" w:rsidR="00856A6E" w:rsidRPr="00856A6E" w:rsidRDefault="00856A6E" w:rsidP="00F903CF">
            <w:pPr>
              <w:spacing w:after="0" w:line="240" w:lineRule="auto"/>
              <w:jc w:val="center"/>
              <w:rPr>
                <w:rFonts w:ascii="Times New Roman" w:eastAsia="Times New Roman" w:hAnsi="Times New Roman" w:cs="Times New Roman"/>
                <w:kern w:val="0"/>
                <w:sz w:val="20"/>
                <w:szCs w:val="20"/>
                <w:lang w:eastAsia="en-GB"/>
                <w14:ligatures w14:val="none"/>
              </w:rPr>
            </w:pPr>
          </w:p>
        </w:tc>
        <w:tc>
          <w:tcPr>
            <w:tcW w:w="990" w:type="dxa"/>
            <w:tcBorders>
              <w:top w:val="nil"/>
              <w:left w:val="nil"/>
              <w:bottom w:val="nil"/>
              <w:right w:val="nil"/>
            </w:tcBorders>
            <w:noWrap/>
            <w:vAlign w:val="center"/>
            <w:hideMark/>
          </w:tcPr>
          <w:p w14:paraId="10D2F7CA" w14:textId="77777777" w:rsidR="00856A6E" w:rsidRPr="00856A6E" w:rsidRDefault="00856A6E" w:rsidP="00F903CF">
            <w:pPr>
              <w:spacing w:after="0" w:line="240" w:lineRule="auto"/>
              <w:jc w:val="center"/>
              <w:rPr>
                <w:rFonts w:ascii="Times New Roman" w:eastAsia="Times New Roman" w:hAnsi="Times New Roman" w:cs="Times New Roman"/>
                <w:kern w:val="0"/>
                <w:sz w:val="20"/>
                <w:szCs w:val="20"/>
                <w:lang w:eastAsia="en-GB"/>
                <w14:ligatures w14:val="none"/>
              </w:rPr>
            </w:pPr>
          </w:p>
        </w:tc>
      </w:tr>
      <w:tr w:rsidR="00856A6E" w:rsidRPr="00856A6E" w14:paraId="430E58D3" w14:textId="77777777" w:rsidTr="00F903CF">
        <w:trPr>
          <w:trHeight w:val="60"/>
          <w:jc w:val="center"/>
        </w:trPr>
        <w:tc>
          <w:tcPr>
            <w:tcW w:w="3151" w:type="dxa"/>
            <w:tcBorders>
              <w:top w:val="nil"/>
              <w:left w:val="nil"/>
              <w:bottom w:val="nil"/>
              <w:right w:val="nil"/>
            </w:tcBorders>
            <w:noWrap/>
            <w:vAlign w:val="center"/>
            <w:hideMark/>
          </w:tcPr>
          <w:p w14:paraId="1AE64198"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≤10 years</w:t>
            </w:r>
          </w:p>
        </w:tc>
        <w:tc>
          <w:tcPr>
            <w:tcW w:w="2519" w:type="dxa"/>
            <w:tcBorders>
              <w:top w:val="nil"/>
              <w:left w:val="nil"/>
              <w:bottom w:val="nil"/>
              <w:right w:val="nil"/>
            </w:tcBorders>
            <w:noWrap/>
            <w:vAlign w:val="center"/>
            <w:hideMark/>
          </w:tcPr>
          <w:p w14:paraId="0E6F2BEE"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22 (44.0)</w:t>
            </w:r>
          </w:p>
        </w:tc>
        <w:tc>
          <w:tcPr>
            <w:tcW w:w="2520" w:type="dxa"/>
            <w:tcBorders>
              <w:top w:val="nil"/>
              <w:left w:val="nil"/>
              <w:bottom w:val="nil"/>
              <w:right w:val="nil"/>
            </w:tcBorders>
            <w:noWrap/>
            <w:vAlign w:val="center"/>
            <w:hideMark/>
          </w:tcPr>
          <w:p w14:paraId="59F4F66B"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w:t>
            </w:r>
          </w:p>
        </w:tc>
        <w:tc>
          <w:tcPr>
            <w:tcW w:w="990" w:type="dxa"/>
            <w:tcBorders>
              <w:top w:val="nil"/>
              <w:left w:val="nil"/>
              <w:bottom w:val="nil"/>
              <w:right w:val="nil"/>
            </w:tcBorders>
            <w:noWrap/>
            <w:vAlign w:val="center"/>
            <w:hideMark/>
          </w:tcPr>
          <w:p w14:paraId="259E401D"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r w:rsidR="00856A6E" w:rsidRPr="00856A6E" w14:paraId="3AC618A8" w14:textId="77777777" w:rsidTr="00F903CF">
        <w:trPr>
          <w:trHeight w:val="60"/>
          <w:jc w:val="center"/>
        </w:trPr>
        <w:tc>
          <w:tcPr>
            <w:tcW w:w="3151" w:type="dxa"/>
            <w:tcBorders>
              <w:top w:val="nil"/>
              <w:left w:val="nil"/>
              <w:bottom w:val="single" w:sz="4" w:space="0" w:color="auto"/>
              <w:right w:val="nil"/>
            </w:tcBorders>
            <w:noWrap/>
            <w:vAlign w:val="center"/>
            <w:hideMark/>
          </w:tcPr>
          <w:p w14:paraId="18726AA6" w14:textId="77777777" w:rsidR="00856A6E" w:rsidRPr="00856A6E" w:rsidRDefault="00856A6E" w:rsidP="00856A6E">
            <w:pPr>
              <w:spacing w:after="0" w:line="240" w:lineRule="auto"/>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&gt;10 years</w:t>
            </w:r>
          </w:p>
        </w:tc>
        <w:tc>
          <w:tcPr>
            <w:tcW w:w="2519" w:type="dxa"/>
            <w:tcBorders>
              <w:top w:val="nil"/>
              <w:left w:val="nil"/>
              <w:bottom w:val="single" w:sz="4" w:space="0" w:color="auto"/>
              <w:right w:val="nil"/>
            </w:tcBorders>
            <w:noWrap/>
            <w:vAlign w:val="center"/>
            <w:hideMark/>
          </w:tcPr>
          <w:p w14:paraId="78722D88"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28 (56.0)</w:t>
            </w:r>
          </w:p>
        </w:tc>
        <w:tc>
          <w:tcPr>
            <w:tcW w:w="2520" w:type="dxa"/>
            <w:tcBorders>
              <w:top w:val="nil"/>
              <w:left w:val="nil"/>
              <w:bottom w:val="single" w:sz="4" w:space="0" w:color="auto"/>
              <w:right w:val="nil"/>
            </w:tcBorders>
            <w:noWrap/>
            <w:vAlign w:val="center"/>
            <w:hideMark/>
          </w:tcPr>
          <w:p w14:paraId="4F49A255" w14:textId="77777777"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r w:rsidRPr="00856A6E">
              <w:rPr>
                <w:rFonts w:ascii="Arial" w:eastAsia="Times New Roman" w:hAnsi="Arial" w:cs="Arial"/>
                <w:color w:val="000000"/>
                <w:kern w:val="0"/>
                <w:sz w:val="20"/>
                <w:szCs w:val="20"/>
                <w:lang w:eastAsia="en-GB"/>
                <w14:ligatures w14:val="none"/>
              </w:rPr>
              <w:t>—</w:t>
            </w:r>
          </w:p>
        </w:tc>
        <w:tc>
          <w:tcPr>
            <w:tcW w:w="990" w:type="dxa"/>
            <w:tcBorders>
              <w:top w:val="nil"/>
              <w:left w:val="nil"/>
              <w:bottom w:val="single" w:sz="4" w:space="0" w:color="auto"/>
              <w:right w:val="nil"/>
            </w:tcBorders>
            <w:noWrap/>
            <w:vAlign w:val="center"/>
            <w:hideMark/>
          </w:tcPr>
          <w:p w14:paraId="56E56E52" w14:textId="33DA9CE6" w:rsidR="00856A6E" w:rsidRPr="00856A6E" w:rsidRDefault="00856A6E" w:rsidP="00F903CF">
            <w:pPr>
              <w:spacing w:after="0" w:line="240" w:lineRule="auto"/>
              <w:jc w:val="center"/>
              <w:rPr>
                <w:rFonts w:ascii="Arial" w:eastAsia="Times New Roman" w:hAnsi="Arial" w:cs="Arial"/>
                <w:color w:val="000000"/>
                <w:kern w:val="0"/>
                <w:sz w:val="20"/>
                <w:szCs w:val="20"/>
                <w:lang w:eastAsia="en-GB"/>
                <w14:ligatures w14:val="none"/>
              </w:rPr>
            </w:pPr>
          </w:p>
        </w:tc>
      </w:tr>
    </w:tbl>
    <w:p w14:paraId="353DEDFF" w14:textId="477559B8" w:rsidR="006C191A" w:rsidRDefault="006C191A" w:rsidP="003C139A">
      <w:pPr>
        <w:shd w:val="clear" w:color="auto" w:fill="FFFFFF"/>
        <w:spacing w:after="0" w:line="240" w:lineRule="auto"/>
        <w:jc w:val="center"/>
        <w:rPr>
          <w:rFonts w:ascii="Arial" w:eastAsia="Times New Roman" w:hAnsi="Arial" w:cs="Arial"/>
          <w:i/>
          <w:iCs/>
          <w:color w:val="0F1115"/>
          <w:kern w:val="0"/>
          <w:sz w:val="20"/>
          <w:szCs w:val="20"/>
          <w:lang w:eastAsia="en-GB"/>
          <w14:ligatures w14:val="none"/>
        </w:rPr>
      </w:pPr>
      <w:r w:rsidRPr="006C191A">
        <w:rPr>
          <w:rFonts w:ascii="Arial" w:eastAsia="Times New Roman" w:hAnsi="Arial" w:cs="Arial"/>
          <w:i/>
          <w:iCs/>
          <w:color w:val="0F1115"/>
          <w:kern w:val="0"/>
          <w:sz w:val="20"/>
          <w:szCs w:val="20"/>
          <w:lang w:eastAsia="en-GB"/>
          <w14:ligatures w14:val="none"/>
        </w:rPr>
        <w:t>SD, standard deviation; † independent samples t</w:t>
      </w:r>
      <w:r w:rsidRPr="006C191A">
        <w:rPr>
          <w:rFonts w:ascii="Arial" w:eastAsia="Times New Roman" w:hAnsi="Arial" w:cs="Arial"/>
          <w:i/>
          <w:iCs/>
          <w:color w:val="0F1115"/>
          <w:kern w:val="0"/>
          <w:sz w:val="20"/>
          <w:szCs w:val="20"/>
          <w:lang w:eastAsia="en-GB"/>
          <w14:ligatures w14:val="none"/>
        </w:rPr>
        <w:noBreakHyphen/>
        <w:t>test; ¥ chi</w:t>
      </w:r>
      <w:r w:rsidRPr="006C191A">
        <w:rPr>
          <w:rFonts w:ascii="Arial" w:eastAsia="Times New Roman" w:hAnsi="Arial" w:cs="Arial"/>
          <w:i/>
          <w:iCs/>
          <w:color w:val="0F1115"/>
          <w:kern w:val="0"/>
          <w:sz w:val="20"/>
          <w:szCs w:val="20"/>
          <w:lang w:eastAsia="en-GB"/>
          <w14:ligatures w14:val="none"/>
        </w:rPr>
        <w:noBreakHyphen/>
        <w:t>square test</w:t>
      </w:r>
    </w:p>
    <w:p w14:paraId="1D5A2C63" w14:textId="77777777" w:rsidR="003C139A" w:rsidRPr="006C191A" w:rsidRDefault="003C139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A6793EE" w14:textId="77777777" w:rsidR="00785A6C" w:rsidRDefault="00785A6C"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785A6C" w:rsidSect="00785A6C">
          <w:type w:val="continuous"/>
          <w:pgSz w:w="11906" w:h="16838"/>
          <w:pgMar w:top="1440" w:right="1440" w:bottom="1440" w:left="1440" w:header="720" w:footer="720" w:gutter="0"/>
          <w:cols w:space="720"/>
          <w:titlePg/>
          <w:docGrid w:linePitch="360"/>
        </w:sectPr>
      </w:pPr>
    </w:p>
    <w:p w14:paraId="23E01ACB" w14:textId="77777777" w:rsidR="006C191A" w:rsidRPr="00856A6E"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56A6E">
        <w:rPr>
          <w:rFonts w:ascii="Arial" w:eastAsia="Times New Roman" w:hAnsi="Arial" w:cs="Arial"/>
          <w:i/>
          <w:iCs/>
          <w:color w:val="0F1115"/>
          <w:kern w:val="0"/>
          <w:sz w:val="20"/>
          <w:szCs w:val="20"/>
          <w:lang w:eastAsia="en-GB"/>
          <w14:ligatures w14:val="none"/>
        </w:rPr>
        <w:t>Serum DPPX Levels: Epilepsy Patients vs. Controls</w:t>
      </w:r>
    </w:p>
    <w:p w14:paraId="67709857"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 xml:space="preserve">Serum DPPX concentrations were significantly lower in epilepsy patients than in healthy controls </w:t>
      </w:r>
      <w:r w:rsidRPr="006C191A">
        <w:rPr>
          <w:rFonts w:ascii="Arial" w:eastAsia="Times New Roman" w:hAnsi="Arial" w:cs="Arial"/>
          <w:color w:val="0F1115"/>
          <w:kern w:val="0"/>
          <w:sz w:val="20"/>
          <w:szCs w:val="20"/>
          <w:lang w:eastAsia="en-GB"/>
          <w14:ligatures w14:val="none"/>
        </w:rPr>
        <w:t>(47.02±4.33 ng/mL vs. 83.68±7.38 ng/mL; mean difference –36.66 ng/mL, 95% CI: –39.17 to –34.15; P=0.001; Table 2 and Figure 1A).</w:t>
      </w:r>
    </w:p>
    <w:p w14:paraId="42A2D1AD"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num="2" w:space="432"/>
          <w:titlePg/>
          <w:docGrid w:linePitch="360"/>
        </w:sectPr>
      </w:pPr>
    </w:p>
    <w:p w14:paraId="6B4D7485" w14:textId="77777777" w:rsidR="00856A6E" w:rsidRPr="006C191A" w:rsidRDefault="00856A6E"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5911D17" w14:textId="77777777" w:rsidR="006C191A" w:rsidRPr="00856A6E" w:rsidRDefault="006C191A" w:rsidP="00856A6E">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856A6E">
        <w:rPr>
          <w:rFonts w:ascii="Arial" w:eastAsia="Times New Roman" w:hAnsi="Arial" w:cs="Arial"/>
          <w:b/>
          <w:bCs/>
          <w:color w:val="0F1115"/>
          <w:kern w:val="0"/>
          <w:sz w:val="20"/>
          <w:szCs w:val="20"/>
          <w:lang w:eastAsia="en-GB"/>
          <w14:ligatures w14:val="none"/>
        </w:rPr>
        <w:t>Table 2: Comparison of serum DPPX levels between epilepsy patients and healthy controls</w:t>
      </w:r>
    </w:p>
    <w:tbl>
      <w:tblPr>
        <w:tblW w:w="6840" w:type="dxa"/>
        <w:jc w:val="center"/>
        <w:tblLook w:val="04A0" w:firstRow="1" w:lastRow="0" w:firstColumn="1" w:lastColumn="0" w:noHBand="0" w:noVBand="1"/>
      </w:tblPr>
      <w:tblGrid>
        <w:gridCol w:w="1840"/>
        <w:gridCol w:w="439"/>
        <w:gridCol w:w="2041"/>
        <w:gridCol w:w="1440"/>
        <w:gridCol w:w="1080"/>
      </w:tblGrid>
      <w:tr w:rsidR="00A47FD5" w:rsidRPr="00A47FD5" w14:paraId="224F3EC8" w14:textId="77777777" w:rsidTr="00F903CF">
        <w:trPr>
          <w:trHeight w:val="50"/>
          <w:jc w:val="center"/>
        </w:trPr>
        <w:tc>
          <w:tcPr>
            <w:tcW w:w="1840" w:type="dxa"/>
            <w:tcBorders>
              <w:top w:val="single" w:sz="4" w:space="0" w:color="auto"/>
              <w:left w:val="nil"/>
              <w:bottom w:val="single" w:sz="4" w:space="0" w:color="auto"/>
              <w:right w:val="nil"/>
            </w:tcBorders>
            <w:noWrap/>
            <w:vAlign w:val="center"/>
            <w:hideMark/>
          </w:tcPr>
          <w:p w14:paraId="035C366E" w14:textId="77777777" w:rsidR="00A47FD5" w:rsidRPr="00A47FD5" w:rsidRDefault="00A47FD5" w:rsidP="00F903CF">
            <w:pPr>
              <w:spacing w:after="0" w:line="240" w:lineRule="auto"/>
              <w:jc w:val="center"/>
              <w:rPr>
                <w:rFonts w:ascii="Arial" w:eastAsia="Times New Roman" w:hAnsi="Arial" w:cs="Arial"/>
                <w:b/>
                <w:bCs/>
                <w:color w:val="000000"/>
                <w:kern w:val="0"/>
                <w:sz w:val="20"/>
                <w:szCs w:val="20"/>
                <w:lang w:eastAsia="en-GB"/>
                <w14:ligatures w14:val="none"/>
              </w:rPr>
            </w:pPr>
            <w:r w:rsidRPr="00A47FD5">
              <w:rPr>
                <w:rFonts w:ascii="Arial" w:eastAsia="Times New Roman" w:hAnsi="Arial" w:cs="Arial"/>
                <w:b/>
                <w:bCs/>
                <w:color w:val="000000"/>
                <w:kern w:val="0"/>
                <w:sz w:val="20"/>
                <w:szCs w:val="20"/>
                <w:lang w:eastAsia="en-GB"/>
                <w14:ligatures w14:val="none"/>
              </w:rPr>
              <w:t>Group</w:t>
            </w:r>
          </w:p>
        </w:tc>
        <w:tc>
          <w:tcPr>
            <w:tcW w:w="439" w:type="dxa"/>
            <w:tcBorders>
              <w:top w:val="single" w:sz="4" w:space="0" w:color="auto"/>
              <w:left w:val="nil"/>
              <w:bottom w:val="single" w:sz="4" w:space="0" w:color="auto"/>
              <w:right w:val="nil"/>
            </w:tcBorders>
            <w:noWrap/>
            <w:vAlign w:val="center"/>
            <w:hideMark/>
          </w:tcPr>
          <w:p w14:paraId="03A0BA7C" w14:textId="77777777" w:rsidR="00A47FD5" w:rsidRPr="00A47FD5" w:rsidRDefault="00A47FD5" w:rsidP="00F903CF">
            <w:pPr>
              <w:spacing w:after="0" w:line="240" w:lineRule="auto"/>
              <w:jc w:val="center"/>
              <w:rPr>
                <w:rFonts w:ascii="Arial" w:eastAsia="Times New Roman" w:hAnsi="Arial" w:cs="Arial"/>
                <w:b/>
                <w:bCs/>
                <w:color w:val="000000"/>
                <w:kern w:val="0"/>
                <w:sz w:val="20"/>
                <w:szCs w:val="20"/>
                <w:lang w:eastAsia="en-GB"/>
                <w14:ligatures w14:val="none"/>
              </w:rPr>
            </w:pPr>
            <w:r w:rsidRPr="00A47FD5">
              <w:rPr>
                <w:rFonts w:ascii="Arial" w:eastAsia="Times New Roman" w:hAnsi="Arial" w:cs="Arial"/>
                <w:b/>
                <w:bCs/>
                <w:color w:val="000000"/>
                <w:kern w:val="0"/>
                <w:sz w:val="20"/>
                <w:szCs w:val="20"/>
                <w:lang w:eastAsia="en-GB"/>
                <w14:ligatures w14:val="none"/>
              </w:rPr>
              <w:t>n</w:t>
            </w:r>
          </w:p>
        </w:tc>
        <w:tc>
          <w:tcPr>
            <w:tcW w:w="2041" w:type="dxa"/>
            <w:tcBorders>
              <w:top w:val="single" w:sz="4" w:space="0" w:color="auto"/>
              <w:left w:val="nil"/>
              <w:bottom w:val="single" w:sz="4" w:space="0" w:color="auto"/>
              <w:right w:val="nil"/>
            </w:tcBorders>
            <w:noWrap/>
            <w:vAlign w:val="center"/>
            <w:hideMark/>
          </w:tcPr>
          <w:p w14:paraId="481ED414" w14:textId="77777777" w:rsidR="00A47FD5" w:rsidRPr="00A47FD5" w:rsidRDefault="00A47FD5" w:rsidP="00F903CF">
            <w:pPr>
              <w:spacing w:after="0" w:line="240" w:lineRule="auto"/>
              <w:jc w:val="center"/>
              <w:rPr>
                <w:rFonts w:ascii="Arial" w:eastAsia="Times New Roman" w:hAnsi="Arial" w:cs="Arial"/>
                <w:b/>
                <w:bCs/>
                <w:color w:val="000000"/>
                <w:kern w:val="0"/>
                <w:sz w:val="20"/>
                <w:szCs w:val="20"/>
                <w:lang w:eastAsia="en-GB"/>
                <w14:ligatures w14:val="none"/>
              </w:rPr>
            </w:pPr>
            <w:r w:rsidRPr="00A47FD5">
              <w:rPr>
                <w:rFonts w:ascii="Arial" w:eastAsia="Times New Roman" w:hAnsi="Arial" w:cs="Arial"/>
                <w:b/>
                <w:bCs/>
                <w:color w:val="000000"/>
                <w:kern w:val="0"/>
                <w:sz w:val="20"/>
                <w:szCs w:val="20"/>
                <w:lang w:eastAsia="en-GB"/>
                <w14:ligatures w14:val="none"/>
              </w:rPr>
              <w:t>Mean ± SE (ng/mL)</w:t>
            </w:r>
          </w:p>
        </w:tc>
        <w:tc>
          <w:tcPr>
            <w:tcW w:w="1440" w:type="dxa"/>
            <w:tcBorders>
              <w:top w:val="single" w:sz="4" w:space="0" w:color="auto"/>
              <w:left w:val="nil"/>
              <w:bottom w:val="single" w:sz="4" w:space="0" w:color="auto"/>
              <w:right w:val="nil"/>
            </w:tcBorders>
            <w:noWrap/>
            <w:vAlign w:val="center"/>
            <w:hideMark/>
          </w:tcPr>
          <w:p w14:paraId="61BAE379" w14:textId="77777777" w:rsidR="00A47FD5" w:rsidRPr="00A47FD5" w:rsidRDefault="00A47FD5" w:rsidP="00F903CF">
            <w:pPr>
              <w:spacing w:after="0" w:line="240" w:lineRule="auto"/>
              <w:jc w:val="center"/>
              <w:rPr>
                <w:rFonts w:ascii="Arial" w:eastAsia="Times New Roman" w:hAnsi="Arial" w:cs="Arial"/>
                <w:b/>
                <w:bCs/>
                <w:color w:val="000000"/>
                <w:kern w:val="0"/>
                <w:sz w:val="20"/>
                <w:szCs w:val="20"/>
                <w:lang w:eastAsia="en-GB"/>
                <w14:ligatures w14:val="none"/>
              </w:rPr>
            </w:pPr>
            <w:r w:rsidRPr="00A47FD5">
              <w:rPr>
                <w:rFonts w:ascii="Arial" w:eastAsia="Times New Roman" w:hAnsi="Arial" w:cs="Arial"/>
                <w:b/>
                <w:bCs/>
                <w:color w:val="000000"/>
                <w:kern w:val="0"/>
                <w:sz w:val="20"/>
                <w:szCs w:val="20"/>
                <w:lang w:eastAsia="en-GB"/>
                <w14:ligatures w14:val="none"/>
              </w:rPr>
              <w:t>95% CI</w:t>
            </w:r>
          </w:p>
        </w:tc>
        <w:tc>
          <w:tcPr>
            <w:tcW w:w="1080" w:type="dxa"/>
            <w:tcBorders>
              <w:top w:val="single" w:sz="4" w:space="0" w:color="auto"/>
              <w:left w:val="nil"/>
              <w:bottom w:val="single" w:sz="4" w:space="0" w:color="auto"/>
              <w:right w:val="nil"/>
            </w:tcBorders>
            <w:noWrap/>
            <w:vAlign w:val="center"/>
            <w:hideMark/>
          </w:tcPr>
          <w:p w14:paraId="59B57B7D" w14:textId="77777777" w:rsidR="00A47FD5" w:rsidRPr="00A47FD5" w:rsidRDefault="00A47FD5" w:rsidP="00F903CF">
            <w:pPr>
              <w:spacing w:after="0" w:line="240" w:lineRule="auto"/>
              <w:jc w:val="center"/>
              <w:rPr>
                <w:rFonts w:ascii="Arial" w:eastAsia="Times New Roman" w:hAnsi="Arial" w:cs="Arial"/>
                <w:b/>
                <w:bCs/>
                <w:color w:val="000000"/>
                <w:kern w:val="0"/>
                <w:sz w:val="20"/>
                <w:szCs w:val="20"/>
                <w:lang w:eastAsia="en-GB"/>
                <w14:ligatures w14:val="none"/>
              </w:rPr>
            </w:pPr>
            <w:r w:rsidRPr="00A47FD5">
              <w:rPr>
                <w:rFonts w:ascii="Arial" w:eastAsia="Times New Roman" w:hAnsi="Arial" w:cs="Arial"/>
                <w:b/>
                <w:bCs/>
                <w:color w:val="000000"/>
                <w:kern w:val="0"/>
                <w:sz w:val="20"/>
                <w:szCs w:val="20"/>
                <w:lang w:eastAsia="en-GB"/>
                <w14:ligatures w14:val="none"/>
              </w:rPr>
              <w:t>P-value†</w:t>
            </w:r>
          </w:p>
        </w:tc>
      </w:tr>
      <w:tr w:rsidR="00A47FD5" w:rsidRPr="00A47FD5" w14:paraId="4959E738" w14:textId="77777777" w:rsidTr="00F903CF">
        <w:trPr>
          <w:trHeight w:val="50"/>
          <w:jc w:val="center"/>
        </w:trPr>
        <w:tc>
          <w:tcPr>
            <w:tcW w:w="1840" w:type="dxa"/>
            <w:tcBorders>
              <w:top w:val="nil"/>
              <w:left w:val="nil"/>
              <w:bottom w:val="nil"/>
              <w:right w:val="nil"/>
            </w:tcBorders>
            <w:noWrap/>
            <w:vAlign w:val="center"/>
            <w:hideMark/>
          </w:tcPr>
          <w:p w14:paraId="5528465D" w14:textId="77777777" w:rsidR="00A47FD5" w:rsidRPr="00A47FD5" w:rsidRDefault="00A47FD5" w:rsidP="00A47FD5">
            <w:pPr>
              <w:spacing w:after="0" w:line="240" w:lineRule="auto"/>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Epilepsy patients</w:t>
            </w:r>
          </w:p>
        </w:tc>
        <w:tc>
          <w:tcPr>
            <w:tcW w:w="439" w:type="dxa"/>
            <w:tcBorders>
              <w:top w:val="nil"/>
              <w:left w:val="nil"/>
              <w:bottom w:val="nil"/>
              <w:right w:val="nil"/>
            </w:tcBorders>
            <w:noWrap/>
            <w:vAlign w:val="center"/>
            <w:hideMark/>
          </w:tcPr>
          <w:p w14:paraId="0520311C"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50</w:t>
            </w:r>
          </w:p>
        </w:tc>
        <w:tc>
          <w:tcPr>
            <w:tcW w:w="2041" w:type="dxa"/>
            <w:tcBorders>
              <w:top w:val="nil"/>
              <w:left w:val="nil"/>
              <w:bottom w:val="nil"/>
              <w:right w:val="nil"/>
            </w:tcBorders>
            <w:noWrap/>
            <w:vAlign w:val="center"/>
            <w:hideMark/>
          </w:tcPr>
          <w:p w14:paraId="3F08B20C"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47.02 ± 4.33</w:t>
            </w:r>
          </w:p>
        </w:tc>
        <w:tc>
          <w:tcPr>
            <w:tcW w:w="1440" w:type="dxa"/>
            <w:tcBorders>
              <w:top w:val="nil"/>
              <w:left w:val="nil"/>
              <w:bottom w:val="nil"/>
              <w:right w:val="nil"/>
            </w:tcBorders>
            <w:noWrap/>
            <w:vAlign w:val="center"/>
            <w:hideMark/>
          </w:tcPr>
          <w:p w14:paraId="4BA35D03"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46.07–47.97</w:t>
            </w:r>
          </w:p>
        </w:tc>
        <w:tc>
          <w:tcPr>
            <w:tcW w:w="1080" w:type="dxa"/>
            <w:tcBorders>
              <w:top w:val="nil"/>
              <w:left w:val="nil"/>
              <w:bottom w:val="nil"/>
              <w:right w:val="nil"/>
            </w:tcBorders>
            <w:noWrap/>
            <w:vAlign w:val="center"/>
            <w:hideMark/>
          </w:tcPr>
          <w:p w14:paraId="55341015"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p>
        </w:tc>
      </w:tr>
      <w:tr w:rsidR="00A47FD5" w:rsidRPr="00A47FD5" w14:paraId="0E7A25D2" w14:textId="77777777" w:rsidTr="00F903CF">
        <w:trPr>
          <w:trHeight w:val="60"/>
          <w:jc w:val="center"/>
        </w:trPr>
        <w:tc>
          <w:tcPr>
            <w:tcW w:w="1840" w:type="dxa"/>
            <w:tcBorders>
              <w:top w:val="nil"/>
              <w:left w:val="nil"/>
              <w:bottom w:val="nil"/>
              <w:right w:val="nil"/>
            </w:tcBorders>
            <w:noWrap/>
            <w:vAlign w:val="center"/>
            <w:hideMark/>
          </w:tcPr>
          <w:p w14:paraId="19083746" w14:textId="77777777" w:rsidR="00A47FD5" w:rsidRPr="00A47FD5" w:rsidRDefault="00A47FD5" w:rsidP="00A47FD5">
            <w:pPr>
              <w:spacing w:after="0" w:line="240" w:lineRule="auto"/>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Healthy controls</w:t>
            </w:r>
          </w:p>
        </w:tc>
        <w:tc>
          <w:tcPr>
            <w:tcW w:w="439" w:type="dxa"/>
            <w:tcBorders>
              <w:top w:val="nil"/>
              <w:left w:val="nil"/>
              <w:bottom w:val="nil"/>
              <w:right w:val="nil"/>
            </w:tcBorders>
            <w:noWrap/>
            <w:vAlign w:val="center"/>
            <w:hideMark/>
          </w:tcPr>
          <w:p w14:paraId="6B3D296E"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50</w:t>
            </w:r>
          </w:p>
        </w:tc>
        <w:tc>
          <w:tcPr>
            <w:tcW w:w="2041" w:type="dxa"/>
            <w:tcBorders>
              <w:top w:val="nil"/>
              <w:left w:val="nil"/>
              <w:bottom w:val="nil"/>
              <w:right w:val="nil"/>
            </w:tcBorders>
            <w:noWrap/>
            <w:vAlign w:val="center"/>
            <w:hideMark/>
          </w:tcPr>
          <w:p w14:paraId="246B5939"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83.68 ± 7.38</w:t>
            </w:r>
          </w:p>
        </w:tc>
        <w:tc>
          <w:tcPr>
            <w:tcW w:w="1440" w:type="dxa"/>
            <w:tcBorders>
              <w:top w:val="nil"/>
              <w:left w:val="nil"/>
              <w:bottom w:val="nil"/>
              <w:right w:val="nil"/>
            </w:tcBorders>
            <w:noWrap/>
            <w:vAlign w:val="center"/>
            <w:hideMark/>
          </w:tcPr>
          <w:p w14:paraId="454AA7B7"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81.58–85.78</w:t>
            </w:r>
          </w:p>
        </w:tc>
        <w:tc>
          <w:tcPr>
            <w:tcW w:w="1080" w:type="dxa"/>
            <w:tcBorders>
              <w:top w:val="nil"/>
              <w:left w:val="nil"/>
              <w:bottom w:val="nil"/>
              <w:right w:val="nil"/>
            </w:tcBorders>
            <w:noWrap/>
            <w:vAlign w:val="center"/>
            <w:hideMark/>
          </w:tcPr>
          <w:p w14:paraId="5C10E04F"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p>
        </w:tc>
      </w:tr>
      <w:tr w:rsidR="00A47FD5" w:rsidRPr="00A47FD5" w14:paraId="613241CA" w14:textId="77777777" w:rsidTr="00F903CF">
        <w:trPr>
          <w:trHeight w:val="60"/>
          <w:jc w:val="center"/>
        </w:trPr>
        <w:tc>
          <w:tcPr>
            <w:tcW w:w="1840" w:type="dxa"/>
            <w:tcBorders>
              <w:top w:val="nil"/>
              <w:left w:val="nil"/>
              <w:bottom w:val="single" w:sz="4" w:space="0" w:color="auto"/>
              <w:right w:val="nil"/>
            </w:tcBorders>
            <w:noWrap/>
            <w:vAlign w:val="center"/>
            <w:hideMark/>
          </w:tcPr>
          <w:p w14:paraId="7F09AB13" w14:textId="77777777" w:rsidR="00A47FD5" w:rsidRPr="00A47FD5" w:rsidRDefault="00A47FD5" w:rsidP="00A47FD5">
            <w:pPr>
              <w:spacing w:after="0" w:line="240" w:lineRule="auto"/>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 </w:t>
            </w:r>
          </w:p>
        </w:tc>
        <w:tc>
          <w:tcPr>
            <w:tcW w:w="439" w:type="dxa"/>
            <w:tcBorders>
              <w:top w:val="nil"/>
              <w:left w:val="nil"/>
              <w:bottom w:val="single" w:sz="4" w:space="0" w:color="auto"/>
              <w:right w:val="nil"/>
            </w:tcBorders>
            <w:noWrap/>
            <w:vAlign w:val="center"/>
            <w:hideMark/>
          </w:tcPr>
          <w:p w14:paraId="30F4E42D" w14:textId="7F319459"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p>
        </w:tc>
        <w:tc>
          <w:tcPr>
            <w:tcW w:w="2041" w:type="dxa"/>
            <w:tcBorders>
              <w:top w:val="nil"/>
              <w:left w:val="nil"/>
              <w:bottom w:val="single" w:sz="4" w:space="0" w:color="auto"/>
              <w:right w:val="nil"/>
            </w:tcBorders>
            <w:noWrap/>
            <w:vAlign w:val="center"/>
            <w:hideMark/>
          </w:tcPr>
          <w:p w14:paraId="3DE257F5" w14:textId="2C150901"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p>
        </w:tc>
        <w:tc>
          <w:tcPr>
            <w:tcW w:w="1440" w:type="dxa"/>
            <w:tcBorders>
              <w:top w:val="nil"/>
              <w:left w:val="nil"/>
              <w:bottom w:val="single" w:sz="4" w:space="0" w:color="auto"/>
              <w:right w:val="nil"/>
            </w:tcBorders>
            <w:noWrap/>
            <w:vAlign w:val="center"/>
            <w:hideMark/>
          </w:tcPr>
          <w:p w14:paraId="2F552207" w14:textId="3E0729C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p>
        </w:tc>
        <w:tc>
          <w:tcPr>
            <w:tcW w:w="1080" w:type="dxa"/>
            <w:tcBorders>
              <w:top w:val="nil"/>
              <w:left w:val="nil"/>
              <w:bottom w:val="single" w:sz="4" w:space="0" w:color="auto"/>
              <w:right w:val="nil"/>
            </w:tcBorders>
            <w:noWrap/>
            <w:vAlign w:val="center"/>
            <w:hideMark/>
          </w:tcPr>
          <w:p w14:paraId="70074014" w14:textId="77777777" w:rsidR="00A47FD5" w:rsidRPr="00A47FD5" w:rsidRDefault="00A47FD5" w:rsidP="00F903CF">
            <w:pPr>
              <w:spacing w:after="0" w:line="240" w:lineRule="auto"/>
              <w:jc w:val="center"/>
              <w:rPr>
                <w:rFonts w:ascii="Arial" w:eastAsia="Times New Roman" w:hAnsi="Arial" w:cs="Arial"/>
                <w:color w:val="000000"/>
                <w:kern w:val="0"/>
                <w:sz w:val="20"/>
                <w:szCs w:val="20"/>
                <w:lang w:eastAsia="en-GB"/>
                <w14:ligatures w14:val="none"/>
              </w:rPr>
            </w:pPr>
            <w:r w:rsidRPr="00A47FD5">
              <w:rPr>
                <w:rFonts w:ascii="Arial" w:eastAsia="Times New Roman" w:hAnsi="Arial" w:cs="Arial"/>
                <w:color w:val="000000"/>
                <w:kern w:val="0"/>
                <w:sz w:val="20"/>
                <w:szCs w:val="20"/>
                <w:lang w:eastAsia="en-GB"/>
                <w14:ligatures w14:val="none"/>
              </w:rPr>
              <w:t>0.001</w:t>
            </w:r>
          </w:p>
        </w:tc>
      </w:tr>
    </w:tbl>
    <w:p w14:paraId="0A3C63A3" w14:textId="56868086" w:rsidR="006C191A" w:rsidRDefault="006C191A" w:rsidP="00856A6E">
      <w:pPr>
        <w:shd w:val="clear" w:color="auto" w:fill="FFFFFF"/>
        <w:spacing w:after="0" w:line="240" w:lineRule="auto"/>
        <w:jc w:val="center"/>
        <w:rPr>
          <w:rFonts w:ascii="Arial" w:eastAsia="Times New Roman" w:hAnsi="Arial" w:cs="Arial"/>
          <w:i/>
          <w:iCs/>
          <w:color w:val="0F1115"/>
          <w:kern w:val="0"/>
          <w:sz w:val="20"/>
          <w:szCs w:val="20"/>
          <w:lang w:eastAsia="en-GB"/>
          <w14:ligatures w14:val="none"/>
        </w:rPr>
      </w:pPr>
      <w:r w:rsidRPr="006C191A">
        <w:rPr>
          <w:rFonts w:ascii="Arial" w:eastAsia="Times New Roman" w:hAnsi="Arial" w:cs="Arial"/>
          <w:i/>
          <w:iCs/>
          <w:color w:val="0F1115"/>
          <w:kern w:val="0"/>
          <w:sz w:val="20"/>
          <w:szCs w:val="20"/>
          <w:lang w:eastAsia="en-GB"/>
          <w14:ligatures w14:val="none"/>
        </w:rPr>
        <w:t>SE, standard error; CI, confidence interval; † independent samples t</w:t>
      </w:r>
      <w:r w:rsidRPr="006C191A">
        <w:rPr>
          <w:rFonts w:ascii="Arial" w:eastAsia="Times New Roman" w:hAnsi="Arial" w:cs="Arial"/>
          <w:i/>
          <w:iCs/>
          <w:color w:val="0F1115"/>
          <w:kern w:val="0"/>
          <w:sz w:val="20"/>
          <w:szCs w:val="20"/>
          <w:lang w:eastAsia="en-GB"/>
          <w14:ligatures w14:val="none"/>
        </w:rPr>
        <w:noBreakHyphen/>
        <w:t>test</w:t>
      </w:r>
    </w:p>
    <w:p w14:paraId="18C190BF" w14:textId="77777777" w:rsidR="00856A6E" w:rsidRPr="006C191A" w:rsidRDefault="00856A6E"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31A1CDA" w14:textId="77777777" w:rsidR="00785A6C" w:rsidRDefault="00785A6C"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785A6C" w:rsidSect="00785A6C">
          <w:type w:val="continuous"/>
          <w:pgSz w:w="11906" w:h="16838"/>
          <w:pgMar w:top="1440" w:right="1440" w:bottom="1440" w:left="1440" w:header="720" w:footer="720" w:gutter="0"/>
          <w:cols w:space="720"/>
          <w:docGrid w:linePitch="360"/>
        </w:sectPr>
      </w:pPr>
    </w:p>
    <w:p w14:paraId="49C72853" w14:textId="77777777" w:rsidR="006C191A" w:rsidRPr="00217A11"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17A11">
        <w:rPr>
          <w:rFonts w:ascii="Arial" w:eastAsia="Times New Roman" w:hAnsi="Arial" w:cs="Arial"/>
          <w:i/>
          <w:iCs/>
          <w:color w:val="0F1115"/>
          <w:kern w:val="0"/>
          <w:sz w:val="20"/>
          <w:szCs w:val="20"/>
          <w:lang w:eastAsia="en-GB"/>
          <w14:ligatures w14:val="none"/>
        </w:rPr>
        <w:lastRenderedPageBreak/>
        <w:t>ROC Analysis of DPPX as a Discriminatory Marker</w:t>
      </w:r>
    </w:p>
    <w:p w14:paraId="7862D642"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 xml:space="preserve">ROC curve analysis was performed to assess the ability of serum DPPX to differentiate epilepsy patients from healthy controls (Figure 1B). The area under the curve (AUC) was 0.721 (95% CI: 0.623–0.819; P=0.001), indicating modest discriminatory performance. Using the Youden </w:t>
      </w:r>
      <w:r w:rsidRPr="006C191A">
        <w:rPr>
          <w:rFonts w:ascii="Arial" w:eastAsia="Times New Roman" w:hAnsi="Arial" w:cs="Arial"/>
          <w:color w:val="0F1115"/>
          <w:kern w:val="0"/>
          <w:sz w:val="20"/>
          <w:szCs w:val="20"/>
          <w:lang w:eastAsia="en-GB"/>
          <w14:ligatures w14:val="none"/>
        </w:rPr>
        <w:t>index, the optimal cut</w:t>
      </w:r>
      <w:r w:rsidRPr="006C191A">
        <w:rPr>
          <w:rFonts w:ascii="Arial" w:eastAsia="Times New Roman" w:hAnsi="Arial" w:cs="Arial"/>
          <w:color w:val="0F1115"/>
          <w:kern w:val="0"/>
          <w:sz w:val="20"/>
          <w:szCs w:val="20"/>
          <w:lang w:eastAsia="en-GB"/>
          <w14:ligatures w14:val="none"/>
        </w:rPr>
        <w:noBreakHyphen/>
        <w:t>off value was determined as &lt;46.69 ng/mL (i.e., values below this threshold are suggestive of epilepsy). At this cut</w:t>
      </w:r>
      <w:r w:rsidRPr="006C191A">
        <w:rPr>
          <w:rFonts w:ascii="Arial" w:eastAsia="Times New Roman" w:hAnsi="Arial" w:cs="Arial"/>
          <w:color w:val="0F1115"/>
          <w:kern w:val="0"/>
          <w:sz w:val="20"/>
          <w:szCs w:val="20"/>
          <w:lang w:eastAsia="en-GB"/>
          <w14:ligatures w14:val="none"/>
        </w:rPr>
        <w:noBreakHyphen/>
        <w:t>off, the sensitivity was 70.0% (35 of 50 patients correctly classified), the specificity was 74.0% (37 of 50 controls correctly classified), the positive predictive value was 72.9%, and the negative predictive value was 71.2% (Table 3).</w:t>
      </w:r>
    </w:p>
    <w:p w14:paraId="2BD1C81D"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num="2" w:space="432"/>
          <w:docGrid w:linePitch="360"/>
        </w:sectPr>
      </w:pPr>
    </w:p>
    <w:p w14:paraId="1495C091" w14:textId="77777777" w:rsidR="00217A11" w:rsidRPr="006C191A" w:rsidRDefault="00217A11"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2C2A794" w14:textId="77777777" w:rsidR="006C191A" w:rsidRPr="00217A11" w:rsidRDefault="006C191A" w:rsidP="00217A11">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217A11">
        <w:rPr>
          <w:rFonts w:ascii="Arial" w:eastAsia="Times New Roman" w:hAnsi="Arial" w:cs="Arial"/>
          <w:b/>
          <w:bCs/>
          <w:color w:val="0F1115"/>
          <w:kern w:val="0"/>
          <w:sz w:val="20"/>
          <w:szCs w:val="20"/>
          <w:lang w:eastAsia="en-GB"/>
          <w14:ligatures w14:val="none"/>
        </w:rPr>
        <w:t>Table 3: Diagnostic performance of serum DPPX at the optimal cut</w:t>
      </w:r>
      <w:r w:rsidRPr="00217A11">
        <w:rPr>
          <w:rFonts w:ascii="Arial" w:eastAsia="Times New Roman" w:hAnsi="Arial" w:cs="Arial"/>
          <w:b/>
          <w:bCs/>
          <w:color w:val="0F1115"/>
          <w:kern w:val="0"/>
          <w:sz w:val="20"/>
          <w:szCs w:val="20"/>
          <w:lang w:eastAsia="en-GB"/>
          <w14:ligatures w14:val="none"/>
        </w:rPr>
        <w:noBreakHyphen/>
        <w:t>off value of &lt;46.69 ng/mL</w:t>
      </w:r>
    </w:p>
    <w:tbl>
      <w:tblPr>
        <w:tblW w:w="8640" w:type="dxa"/>
        <w:jc w:val="center"/>
        <w:tblLook w:val="04A0" w:firstRow="1" w:lastRow="0" w:firstColumn="1" w:lastColumn="0" w:noHBand="0" w:noVBand="1"/>
      </w:tblPr>
      <w:tblGrid>
        <w:gridCol w:w="3573"/>
        <w:gridCol w:w="2547"/>
        <w:gridCol w:w="2520"/>
      </w:tblGrid>
      <w:tr w:rsidR="00E17928" w:rsidRPr="00E17928" w14:paraId="401CE858" w14:textId="77777777" w:rsidTr="00FF1F9A">
        <w:trPr>
          <w:trHeight w:val="260"/>
          <w:jc w:val="center"/>
        </w:trPr>
        <w:tc>
          <w:tcPr>
            <w:tcW w:w="3573" w:type="dxa"/>
            <w:tcBorders>
              <w:top w:val="single" w:sz="4" w:space="0" w:color="auto"/>
              <w:left w:val="nil"/>
              <w:bottom w:val="single" w:sz="4" w:space="0" w:color="auto"/>
              <w:right w:val="nil"/>
            </w:tcBorders>
            <w:noWrap/>
            <w:vAlign w:val="center"/>
            <w:hideMark/>
          </w:tcPr>
          <w:p w14:paraId="7519C389" w14:textId="77777777" w:rsidR="00E17928" w:rsidRPr="00E17928" w:rsidRDefault="00E17928" w:rsidP="00FF1F9A">
            <w:pPr>
              <w:spacing w:after="0" w:line="240" w:lineRule="auto"/>
              <w:jc w:val="center"/>
              <w:rPr>
                <w:rFonts w:ascii="Arial" w:eastAsia="Times New Roman" w:hAnsi="Arial" w:cs="Arial"/>
                <w:b/>
                <w:bCs/>
                <w:color w:val="000000"/>
                <w:kern w:val="0"/>
                <w:sz w:val="20"/>
                <w:szCs w:val="20"/>
                <w:lang w:eastAsia="en-GB"/>
                <w14:ligatures w14:val="none"/>
              </w:rPr>
            </w:pPr>
            <w:r w:rsidRPr="00E17928">
              <w:rPr>
                <w:rFonts w:ascii="Arial" w:eastAsia="Times New Roman" w:hAnsi="Arial" w:cs="Arial"/>
                <w:b/>
                <w:bCs/>
                <w:color w:val="000000"/>
                <w:kern w:val="0"/>
                <w:sz w:val="20"/>
                <w:szCs w:val="20"/>
                <w:lang w:eastAsia="en-GB"/>
                <w14:ligatures w14:val="none"/>
              </w:rPr>
              <w:t>DPPX level</w:t>
            </w:r>
          </w:p>
        </w:tc>
        <w:tc>
          <w:tcPr>
            <w:tcW w:w="2547" w:type="dxa"/>
            <w:tcBorders>
              <w:top w:val="single" w:sz="4" w:space="0" w:color="auto"/>
              <w:left w:val="nil"/>
              <w:bottom w:val="single" w:sz="4" w:space="0" w:color="auto"/>
              <w:right w:val="nil"/>
            </w:tcBorders>
            <w:noWrap/>
            <w:vAlign w:val="center"/>
            <w:hideMark/>
          </w:tcPr>
          <w:p w14:paraId="786F4857" w14:textId="77777777" w:rsidR="00E17928" w:rsidRPr="00E17928" w:rsidRDefault="00E17928" w:rsidP="00FF1F9A">
            <w:pPr>
              <w:spacing w:after="0" w:line="240" w:lineRule="auto"/>
              <w:jc w:val="center"/>
              <w:rPr>
                <w:rFonts w:ascii="Arial" w:eastAsia="Times New Roman" w:hAnsi="Arial" w:cs="Arial"/>
                <w:b/>
                <w:bCs/>
                <w:color w:val="000000"/>
                <w:kern w:val="0"/>
                <w:sz w:val="20"/>
                <w:szCs w:val="20"/>
                <w:lang w:eastAsia="en-GB"/>
                <w14:ligatures w14:val="none"/>
              </w:rPr>
            </w:pPr>
            <w:r w:rsidRPr="00E17928">
              <w:rPr>
                <w:rFonts w:ascii="Arial" w:eastAsia="Times New Roman" w:hAnsi="Arial" w:cs="Arial"/>
                <w:b/>
                <w:bCs/>
                <w:color w:val="000000"/>
                <w:kern w:val="0"/>
                <w:sz w:val="20"/>
                <w:szCs w:val="20"/>
                <w:lang w:eastAsia="en-GB"/>
                <w14:ligatures w14:val="none"/>
              </w:rPr>
              <w:t>Epilepsy patients (n=50)</w:t>
            </w:r>
          </w:p>
        </w:tc>
        <w:tc>
          <w:tcPr>
            <w:tcW w:w="2520" w:type="dxa"/>
            <w:tcBorders>
              <w:top w:val="single" w:sz="4" w:space="0" w:color="auto"/>
              <w:left w:val="nil"/>
              <w:bottom w:val="single" w:sz="4" w:space="0" w:color="auto"/>
              <w:right w:val="nil"/>
            </w:tcBorders>
            <w:noWrap/>
            <w:vAlign w:val="center"/>
            <w:hideMark/>
          </w:tcPr>
          <w:p w14:paraId="60372F42" w14:textId="77777777" w:rsidR="00E17928" w:rsidRPr="00E17928" w:rsidRDefault="00E17928" w:rsidP="00FF1F9A">
            <w:pPr>
              <w:spacing w:after="0" w:line="240" w:lineRule="auto"/>
              <w:jc w:val="center"/>
              <w:rPr>
                <w:rFonts w:ascii="Arial" w:eastAsia="Times New Roman" w:hAnsi="Arial" w:cs="Arial"/>
                <w:b/>
                <w:bCs/>
                <w:color w:val="000000"/>
                <w:kern w:val="0"/>
                <w:sz w:val="20"/>
                <w:szCs w:val="20"/>
                <w:lang w:eastAsia="en-GB"/>
                <w14:ligatures w14:val="none"/>
              </w:rPr>
            </w:pPr>
            <w:r w:rsidRPr="00E17928">
              <w:rPr>
                <w:rFonts w:ascii="Arial" w:eastAsia="Times New Roman" w:hAnsi="Arial" w:cs="Arial"/>
                <w:b/>
                <w:bCs/>
                <w:color w:val="000000"/>
                <w:kern w:val="0"/>
                <w:sz w:val="20"/>
                <w:szCs w:val="20"/>
                <w:lang w:eastAsia="en-GB"/>
                <w14:ligatures w14:val="none"/>
              </w:rPr>
              <w:t>Healthy controls (n=50)</w:t>
            </w:r>
          </w:p>
        </w:tc>
      </w:tr>
      <w:tr w:rsidR="00E17928" w:rsidRPr="00E17928" w14:paraId="4BC70A31" w14:textId="77777777" w:rsidTr="00FF1F9A">
        <w:trPr>
          <w:trHeight w:val="250"/>
          <w:jc w:val="center"/>
        </w:trPr>
        <w:tc>
          <w:tcPr>
            <w:tcW w:w="3573" w:type="dxa"/>
            <w:tcBorders>
              <w:top w:val="nil"/>
              <w:left w:val="nil"/>
              <w:bottom w:val="nil"/>
              <w:right w:val="nil"/>
            </w:tcBorders>
            <w:noWrap/>
            <w:vAlign w:val="center"/>
            <w:hideMark/>
          </w:tcPr>
          <w:p w14:paraId="300A4AFE"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&lt;46.69 ng/mL (positive for epilepsy)</w:t>
            </w:r>
          </w:p>
        </w:tc>
        <w:tc>
          <w:tcPr>
            <w:tcW w:w="2547" w:type="dxa"/>
            <w:tcBorders>
              <w:top w:val="nil"/>
              <w:left w:val="nil"/>
              <w:bottom w:val="nil"/>
              <w:right w:val="nil"/>
            </w:tcBorders>
            <w:noWrap/>
            <w:vAlign w:val="center"/>
            <w:hideMark/>
          </w:tcPr>
          <w:p w14:paraId="15EBAFA5"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35</w:t>
            </w:r>
          </w:p>
        </w:tc>
        <w:tc>
          <w:tcPr>
            <w:tcW w:w="2520" w:type="dxa"/>
            <w:tcBorders>
              <w:top w:val="nil"/>
              <w:left w:val="nil"/>
              <w:bottom w:val="nil"/>
              <w:right w:val="nil"/>
            </w:tcBorders>
            <w:noWrap/>
            <w:vAlign w:val="center"/>
            <w:hideMark/>
          </w:tcPr>
          <w:p w14:paraId="0DBDF75B"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13</w:t>
            </w:r>
          </w:p>
        </w:tc>
      </w:tr>
      <w:tr w:rsidR="00E17928" w:rsidRPr="00E17928" w14:paraId="59F54C62" w14:textId="77777777" w:rsidTr="00FF1F9A">
        <w:trPr>
          <w:trHeight w:val="250"/>
          <w:jc w:val="center"/>
        </w:trPr>
        <w:tc>
          <w:tcPr>
            <w:tcW w:w="3573" w:type="dxa"/>
            <w:tcBorders>
              <w:top w:val="nil"/>
              <w:left w:val="nil"/>
              <w:bottom w:val="nil"/>
              <w:right w:val="nil"/>
            </w:tcBorders>
            <w:noWrap/>
            <w:vAlign w:val="center"/>
            <w:hideMark/>
          </w:tcPr>
          <w:p w14:paraId="2DDED31E"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≥46.69 ng/mL (negative for epilepsy)</w:t>
            </w:r>
          </w:p>
        </w:tc>
        <w:tc>
          <w:tcPr>
            <w:tcW w:w="2547" w:type="dxa"/>
            <w:tcBorders>
              <w:top w:val="nil"/>
              <w:left w:val="nil"/>
              <w:bottom w:val="nil"/>
              <w:right w:val="nil"/>
            </w:tcBorders>
            <w:noWrap/>
            <w:vAlign w:val="center"/>
            <w:hideMark/>
          </w:tcPr>
          <w:p w14:paraId="5855ED27"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15</w:t>
            </w:r>
          </w:p>
        </w:tc>
        <w:tc>
          <w:tcPr>
            <w:tcW w:w="2520" w:type="dxa"/>
            <w:tcBorders>
              <w:top w:val="nil"/>
              <w:left w:val="nil"/>
              <w:bottom w:val="nil"/>
              <w:right w:val="nil"/>
            </w:tcBorders>
            <w:noWrap/>
            <w:vAlign w:val="center"/>
            <w:hideMark/>
          </w:tcPr>
          <w:p w14:paraId="7377E767"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37</w:t>
            </w:r>
          </w:p>
        </w:tc>
      </w:tr>
      <w:tr w:rsidR="00E17928" w:rsidRPr="00E17928" w14:paraId="6C65BBAC" w14:textId="77777777" w:rsidTr="00FF1F9A">
        <w:trPr>
          <w:trHeight w:val="250"/>
          <w:jc w:val="center"/>
        </w:trPr>
        <w:tc>
          <w:tcPr>
            <w:tcW w:w="3573" w:type="dxa"/>
            <w:tcBorders>
              <w:top w:val="nil"/>
              <w:left w:val="nil"/>
              <w:bottom w:val="nil"/>
              <w:right w:val="nil"/>
            </w:tcBorders>
            <w:noWrap/>
            <w:vAlign w:val="center"/>
            <w:hideMark/>
          </w:tcPr>
          <w:p w14:paraId="32803015"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Performance metric</w:t>
            </w:r>
          </w:p>
        </w:tc>
        <w:tc>
          <w:tcPr>
            <w:tcW w:w="2547" w:type="dxa"/>
            <w:tcBorders>
              <w:top w:val="nil"/>
              <w:left w:val="nil"/>
              <w:bottom w:val="nil"/>
              <w:right w:val="nil"/>
            </w:tcBorders>
            <w:noWrap/>
            <w:vAlign w:val="center"/>
            <w:hideMark/>
          </w:tcPr>
          <w:p w14:paraId="7AC15F5B"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Value</w:t>
            </w:r>
          </w:p>
        </w:tc>
        <w:tc>
          <w:tcPr>
            <w:tcW w:w="2520" w:type="dxa"/>
            <w:tcBorders>
              <w:top w:val="nil"/>
              <w:left w:val="nil"/>
              <w:bottom w:val="nil"/>
              <w:right w:val="nil"/>
            </w:tcBorders>
            <w:noWrap/>
            <w:vAlign w:val="center"/>
            <w:hideMark/>
          </w:tcPr>
          <w:p w14:paraId="67741C12"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p>
        </w:tc>
      </w:tr>
      <w:tr w:rsidR="00E17928" w:rsidRPr="00E17928" w14:paraId="6160B50E" w14:textId="77777777" w:rsidTr="00FF1F9A">
        <w:trPr>
          <w:trHeight w:val="250"/>
          <w:jc w:val="center"/>
        </w:trPr>
        <w:tc>
          <w:tcPr>
            <w:tcW w:w="3573" w:type="dxa"/>
            <w:tcBorders>
              <w:top w:val="nil"/>
              <w:left w:val="nil"/>
              <w:bottom w:val="nil"/>
              <w:right w:val="nil"/>
            </w:tcBorders>
            <w:noWrap/>
            <w:vAlign w:val="center"/>
            <w:hideMark/>
          </w:tcPr>
          <w:p w14:paraId="15DDAD39"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Sensitivity</w:t>
            </w:r>
          </w:p>
        </w:tc>
        <w:tc>
          <w:tcPr>
            <w:tcW w:w="2547" w:type="dxa"/>
            <w:tcBorders>
              <w:top w:val="nil"/>
              <w:left w:val="nil"/>
              <w:bottom w:val="nil"/>
              <w:right w:val="nil"/>
            </w:tcBorders>
            <w:noWrap/>
            <w:vAlign w:val="center"/>
            <w:hideMark/>
          </w:tcPr>
          <w:p w14:paraId="744B215F"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70.00%</w:t>
            </w:r>
          </w:p>
        </w:tc>
        <w:tc>
          <w:tcPr>
            <w:tcW w:w="2520" w:type="dxa"/>
            <w:tcBorders>
              <w:top w:val="nil"/>
              <w:left w:val="nil"/>
              <w:bottom w:val="nil"/>
              <w:right w:val="nil"/>
            </w:tcBorders>
            <w:noWrap/>
            <w:vAlign w:val="center"/>
            <w:hideMark/>
          </w:tcPr>
          <w:p w14:paraId="014C2629"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p>
        </w:tc>
      </w:tr>
      <w:tr w:rsidR="00E17928" w:rsidRPr="00E17928" w14:paraId="61C688D9" w14:textId="77777777" w:rsidTr="00FF1F9A">
        <w:trPr>
          <w:trHeight w:val="250"/>
          <w:jc w:val="center"/>
        </w:trPr>
        <w:tc>
          <w:tcPr>
            <w:tcW w:w="3573" w:type="dxa"/>
            <w:tcBorders>
              <w:top w:val="nil"/>
              <w:left w:val="nil"/>
              <w:bottom w:val="nil"/>
              <w:right w:val="nil"/>
            </w:tcBorders>
            <w:noWrap/>
            <w:vAlign w:val="center"/>
            <w:hideMark/>
          </w:tcPr>
          <w:p w14:paraId="560EC2D6"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Specificity</w:t>
            </w:r>
          </w:p>
        </w:tc>
        <w:tc>
          <w:tcPr>
            <w:tcW w:w="2547" w:type="dxa"/>
            <w:tcBorders>
              <w:top w:val="nil"/>
              <w:left w:val="nil"/>
              <w:bottom w:val="nil"/>
              <w:right w:val="nil"/>
            </w:tcBorders>
            <w:noWrap/>
            <w:vAlign w:val="center"/>
            <w:hideMark/>
          </w:tcPr>
          <w:p w14:paraId="0F556E80"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74.00%</w:t>
            </w:r>
          </w:p>
        </w:tc>
        <w:tc>
          <w:tcPr>
            <w:tcW w:w="2520" w:type="dxa"/>
            <w:tcBorders>
              <w:top w:val="nil"/>
              <w:left w:val="nil"/>
              <w:bottom w:val="nil"/>
              <w:right w:val="nil"/>
            </w:tcBorders>
            <w:noWrap/>
            <w:vAlign w:val="center"/>
            <w:hideMark/>
          </w:tcPr>
          <w:p w14:paraId="5B7CE769"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p>
        </w:tc>
      </w:tr>
      <w:tr w:rsidR="00E17928" w:rsidRPr="00E17928" w14:paraId="46C1562D" w14:textId="77777777" w:rsidTr="00FF1F9A">
        <w:trPr>
          <w:trHeight w:val="250"/>
          <w:jc w:val="center"/>
        </w:trPr>
        <w:tc>
          <w:tcPr>
            <w:tcW w:w="3573" w:type="dxa"/>
            <w:tcBorders>
              <w:top w:val="nil"/>
              <w:left w:val="nil"/>
              <w:bottom w:val="nil"/>
              <w:right w:val="nil"/>
            </w:tcBorders>
            <w:noWrap/>
            <w:vAlign w:val="center"/>
            <w:hideMark/>
          </w:tcPr>
          <w:p w14:paraId="187CE7A4"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Positive predictive value</w:t>
            </w:r>
          </w:p>
        </w:tc>
        <w:tc>
          <w:tcPr>
            <w:tcW w:w="2547" w:type="dxa"/>
            <w:tcBorders>
              <w:top w:val="nil"/>
              <w:left w:val="nil"/>
              <w:bottom w:val="nil"/>
              <w:right w:val="nil"/>
            </w:tcBorders>
            <w:noWrap/>
            <w:vAlign w:val="center"/>
            <w:hideMark/>
          </w:tcPr>
          <w:p w14:paraId="0ACF4D42"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72.90%</w:t>
            </w:r>
          </w:p>
        </w:tc>
        <w:tc>
          <w:tcPr>
            <w:tcW w:w="2520" w:type="dxa"/>
            <w:tcBorders>
              <w:top w:val="nil"/>
              <w:left w:val="nil"/>
              <w:bottom w:val="nil"/>
              <w:right w:val="nil"/>
            </w:tcBorders>
            <w:noWrap/>
            <w:vAlign w:val="center"/>
            <w:hideMark/>
          </w:tcPr>
          <w:p w14:paraId="4DD385D0"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p>
        </w:tc>
      </w:tr>
      <w:tr w:rsidR="00E17928" w:rsidRPr="00E17928" w14:paraId="426CDAAF" w14:textId="77777777" w:rsidTr="00FF1F9A">
        <w:trPr>
          <w:trHeight w:val="250"/>
          <w:jc w:val="center"/>
        </w:trPr>
        <w:tc>
          <w:tcPr>
            <w:tcW w:w="3573" w:type="dxa"/>
            <w:tcBorders>
              <w:top w:val="nil"/>
              <w:left w:val="nil"/>
              <w:bottom w:val="nil"/>
              <w:right w:val="nil"/>
            </w:tcBorders>
            <w:noWrap/>
            <w:vAlign w:val="center"/>
            <w:hideMark/>
          </w:tcPr>
          <w:p w14:paraId="0213DF7B"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Negative predictive value</w:t>
            </w:r>
          </w:p>
        </w:tc>
        <w:tc>
          <w:tcPr>
            <w:tcW w:w="2547" w:type="dxa"/>
            <w:tcBorders>
              <w:top w:val="nil"/>
              <w:left w:val="nil"/>
              <w:bottom w:val="nil"/>
              <w:right w:val="nil"/>
            </w:tcBorders>
            <w:noWrap/>
            <w:vAlign w:val="center"/>
            <w:hideMark/>
          </w:tcPr>
          <w:p w14:paraId="4F713113"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71.20%</w:t>
            </w:r>
          </w:p>
        </w:tc>
        <w:tc>
          <w:tcPr>
            <w:tcW w:w="2520" w:type="dxa"/>
            <w:tcBorders>
              <w:top w:val="nil"/>
              <w:left w:val="nil"/>
              <w:bottom w:val="nil"/>
              <w:right w:val="nil"/>
            </w:tcBorders>
            <w:noWrap/>
            <w:vAlign w:val="center"/>
            <w:hideMark/>
          </w:tcPr>
          <w:p w14:paraId="44747302"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p>
        </w:tc>
      </w:tr>
      <w:tr w:rsidR="00E17928" w:rsidRPr="00E17928" w14:paraId="3B239817" w14:textId="77777777" w:rsidTr="00FF1F9A">
        <w:trPr>
          <w:trHeight w:val="250"/>
          <w:jc w:val="center"/>
        </w:trPr>
        <w:tc>
          <w:tcPr>
            <w:tcW w:w="3573" w:type="dxa"/>
            <w:tcBorders>
              <w:top w:val="nil"/>
              <w:left w:val="nil"/>
              <w:bottom w:val="nil"/>
              <w:right w:val="nil"/>
            </w:tcBorders>
            <w:noWrap/>
            <w:vAlign w:val="center"/>
            <w:hideMark/>
          </w:tcPr>
          <w:p w14:paraId="650E45F0"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AUC (95% CI)</w:t>
            </w:r>
          </w:p>
        </w:tc>
        <w:tc>
          <w:tcPr>
            <w:tcW w:w="2547" w:type="dxa"/>
            <w:tcBorders>
              <w:top w:val="nil"/>
              <w:left w:val="nil"/>
              <w:bottom w:val="nil"/>
              <w:right w:val="nil"/>
            </w:tcBorders>
            <w:noWrap/>
            <w:vAlign w:val="center"/>
            <w:hideMark/>
          </w:tcPr>
          <w:p w14:paraId="6F9DE446"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0.721 (0.623–0.819)</w:t>
            </w:r>
          </w:p>
        </w:tc>
        <w:tc>
          <w:tcPr>
            <w:tcW w:w="2520" w:type="dxa"/>
            <w:tcBorders>
              <w:top w:val="nil"/>
              <w:left w:val="nil"/>
              <w:bottom w:val="nil"/>
              <w:right w:val="nil"/>
            </w:tcBorders>
            <w:noWrap/>
            <w:vAlign w:val="center"/>
            <w:hideMark/>
          </w:tcPr>
          <w:p w14:paraId="174B3456"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p>
        </w:tc>
      </w:tr>
      <w:tr w:rsidR="00E17928" w:rsidRPr="00E17928" w14:paraId="47F54F90" w14:textId="77777777" w:rsidTr="00FF1F9A">
        <w:trPr>
          <w:trHeight w:val="250"/>
          <w:jc w:val="center"/>
        </w:trPr>
        <w:tc>
          <w:tcPr>
            <w:tcW w:w="3573" w:type="dxa"/>
            <w:tcBorders>
              <w:top w:val="nil"/>
              <w:left w:val="nil"/>
              <w:bottom w:val="single" w:sz="4" w:space="0" w:color="auto"/>
              <w:right w:val="nil"/>
            </w:tcBorders>
            <w:noWrap/>
            <w:vAlign w:val="center"/>
            <w:hideMark/>
          </w:tcPr>
          <w:p w14:paraId="5F8E83D1" w14:textId="77777777" w:rsidR="00E17928" w:rsidRPr="00E17928" w:rsidRDefault="00E17928" w:rsidP="00E17928">
            <w:pPr>
              <w:spacing w:after="0" w:line="240" w:lineRule="auto"/>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P-value for AUC</w:t>
            </w:r>
          </w:p>
        </w:tc>
        <w:tc>
          <w:tcPr>
            <w:tcW w:w="2547" w:type="dxa"/>
            <w:tcBorders>
              <w:top w:val="nil"/>
              <w:left w:val="nil"/>
              <w:bottom w:val="single" w:sz="4" w:space="0" w:color="auto"/>
              <w:right w:val="nil"/>
            </w:tcBorders>
            <w:noWrap/>
            <w:vAlign w:val="center"/>
            <w:hideMark/>
          </w:tcPr>
          <w:p w14:paraId="7963E47B" w14:textId="77777777"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r w:rsidRPr="00E17928">
              <w:rPr>
                <w:rFonts w:ascii="Arial" w:eastAsia="Times New Roman" w:hAnsi="Arial" w:cs="Arial"/>
                <w:color w:val="000000"/>
                <w:kern w:val="0"/>
                <w:sz w:val="20"/>
                <w:szCs w:val="20"/>
                <w:lang w:eastAsia="en-GB"/>
                <w14:ligatures w14:val="none"/>
              </w:rPr>
              <w:t>0.001</w:t>
            </w:r>
          </w:p>
        </w:tc>
        <w:tc>
          <w:tcPr>
            <w:tcW w:w="2520" w:type="dxa"/>
            <w:tcBorders>
              <w:top w:val="nil"/>
              <w:left w:val="nil"/>
              <w:bottom w:val="single" w:sz="4" w:space="0" w:color="auto"/>
              <w:right w:val="nil"/>
            </w:tcBorders>
            <w:noWrap/>
            <w:vAlign w:val="center"/>
            <w:hideMark/>
          </w:tcPr>
          <w:p w14:paraId="084130AF" w14:textId="20E8A68B" w:rsidR="00E17928" w:rsidRPr="00E17928" w:rsidRDefault="00E17928" w:rsidP="00FF1F9A">
            <w:pPr>
              <w:spacing w:after="0" w:line="240" w:lineRule="auto"/>
              <w:jc w:val="center"/>
              <w:rPr>
                <w:rFonts w:ascii="Arial" w:eastAsia="Times New Roman" w:hAnsi="Arial" w:cs="Arial"/>
                <w:color w:val="000000"/>
                <w:kern w:val="0"/>
                <w:sz w:val="20"/>
                <w:szCs w:val="20"/>
                <w:lang w:eastAsia="en-GB"/>
                <w14:ligatures w14:val="none"/>
              </w:rPr>
            </w:pPr>
          </w:p>
        </w:tc>
      </w:tr>
    </w:tbl>
    <w:p w14:paraId="75FC1694" w14:textId="60F13B49" w:rsidR="006C191A" w:rsidRDefault="006C191A" w:rsidP="00217A11">
      <w:pPr>
        <w:shd w:val="clear" w:color="auto" w:fill="FFFFFF"/>
        <w:spacing w:after="0" w:line="240" w:lineRule="auto"/>
        <w:jc w:val="center"/>
        <w:rPr>
          <w:rFonts w:ascii="Arial" w:eastAsia="Times New Roman" w:hAnsi="Arial" w:cs="Arial"/>
          <w:i/>
          <w:iCs/>
          <w:color w:val="0F1115"/>
          <w:kern w:val="0"/>
          <w:sz w:val="20"/>
          <w:szCs w:val="20"/>
          <w:lang w:eastAsia="en-GB"/>
          <w14:ligatures w14:val="none"/>
        </w:rPr>
      </w:pPr>
      <w:r w:rsidRPr="006C191A">
        <w:rPr>
          <w:rFonts w:ascii="Arial" w:eastAsia="Times New Roman" w:hAnsi="Arial" w:cs="Arial"/>
          <w:i/>
          <w:iCs/>
          <w:color w:val="0F1115"/>
          <w:kern w:val="0"/>
          <w:sz w:val="20"/>
          <w:szCs w:val="20"/>
          <w:lang w:eastAsia="en-GB"/>
          <w14:ligatures w14:val="none"/>
        </w:rPr>
        <w:t>AUC, area under the curve; CI, confidence interval</w:t>
      </w:r>
    </w:p>
    <w:p w14:paraId="3968C54A" w14:textId="77777777" w:rsidR="00217A11" w:rsidRDefault="00217A11"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9F6D01C" w14:textId="77777777" w:rsidR="00785A6C" w:rsidRDefault="00785A6C" w:rsidP="00A178B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space="720"/>
          <w:docGrid w:linePitch="360"/>
        </w:sectPr>
      </w:pPr>
    </w:p>
    <w:p w14:paraId="1A192298" w14:textId="1ABE957B" w:rsidR="00A178BA" w:rsidRPr="00A178BA" w:rsidRDefault="002E3FE3" w:rsidP="00A178B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Pr>
          <w:rFonts w:ascii="Arial" w:eastAsia="Times New Roman" w:hAnsi="Arial" w:cs="Arial"/>
          <w:color w:val="0F1115"/>
          <w:kern w:val="0"/>
          <w:sz w:val="20"/>
          <w:szCs w:val="20"/>
          <w:lang w:eastAsia="en-GB"/>
          <w14:ligatures w14:val="none"/>
        </w:rPr>
        <w:t xml:space="preserve">In </w:t>
      </w:r>
      <w:r w:rsidR="00A178BA">
        <w:rPr>
          <w:rFonts w:ascii="Arial" w:eastAsia="Times New Roman" w:hAnsi="Arial" w:cs="Arial"/>
          <w:color w:val="0F1115"/>
          <w:kern w:val="0"/>
          <w:sz w:val="20"/>
          <w:szCs w:val="20"/>
          <w:lang w:eastAsia="en-GB"/>
          <w14:ligatures w14:val="none"/>
        </w:rPr>
        <w:t>Figure 1</w:t>
      </w:r>
      <w:r w:rsidR="00A178BA" w:rsidRPr="00A178BA">
        <w:rPr>
          <w:rFonts w:ascii="Arial" w:eastAsia="Times New Roman" w:hAnsi="Arial" w:cs="Arial"/>
          <w:color w:val="0F1115"/>
          <w:kern w:val="0"/>
          <w:sz w:val="20"/>
          <w:szCs w:val="20"/>
          <w:lang w:eastAsia="en-GB"/>
          <w14:ligatures w14:val="none"/>
        </w:rPr>
        <w:t>A</w:t>
      </w:r>
      <w:r>
        <w:rPr>
          <w:rFonts w:ascii="Arial" w:eastAsia="Times New Roman" w:hAnsi="Arial" w:cs="Arial"/>
          <w:color w:val="0F1115"/>
          <w:kern w:val="0"/>
          <w:sz w:val="20"/>
          <w:szCs w:val="20"/>
          <w:lang w:eastAsia="en-GB"/>
          <w14:ligatures w14:val="none"/>
        </w:rPr>
        <w:t>, the</w:t>
      </w:r>
      <w:r w:rsidR="00A178BA" w:rsidRPr="00A178BA">
        <w:rPr>
          <w:rFonts w:ascii="Arial" w:eastAsia="Times New Roman" w:hAnsi="Arial" w:cs="Arial"/>
          <w:color w:val="0F1115"/>
          <w:kern w:val="0"/>
          <w:sz w:val="20"/>
          <w:szCs w:val="20"/>
          <w:lang w:eastAsia="en-GB"/>
          <w14:ligatures w14:val="none"/>
        </w:rPr>
        <w:t xml:space="preserve"> Box</w:t>
      </w:r>
      <w:r w:rsidR="00A178BA" w:rsidRPr="00A178BA">
        <w:rPr>
          <w:rFonts w:ascii="Cambria Math" w:eastAsia="Times New Roman" w:hAnsi="Cambria Math" w:cs="Cambria Math"/>
          <w:color w:val="0F1115"/>
          <w:kern w:val="0"/>
          <w:sz w:val="20"/>
          <w:szCs w:val="20"/>
          <w:lang w:eastAsia="en-GB"/>
          <w14:ligatures w14:val="none"/>
        </w:rPr>
        <w:t>‑</w:t>
      </w:r>
      <w:r w:rsidR="00A178BA" w:rsidRPr="00A178BA">
        <w:rPr>
          <w:rFonts w:ascii="Arial" w:eastAsia="Times New Roman" w:hAnsi="Arial" w:cs="Arial"/>
          <w:color w:val="0F1115"/>
          <w:kern w:val="0"/>
          <w:sz w:val="20"/>
          <w:szCs w:val="20"/>
          <w:lang w:eastAsia="en-GB"/>
          <w14:ligatures w14:val="none"/>
        </w:rPr>
        <w:t>and</w:t>
      </w:r>
      <w:r w:rsidR="00A178BA" w:rsidRPr="00A178BA">
        <w:rPr>
          <w:rFonts w:ascii="Cambria Math" w:eastAsia="Times New Roman" w:hAnsi="Cambria Math" w:cs="Cambria Math"/>
          <w:color w:val="0F1115"/>
          <w:kern w:val="0"/>
          <w:sz w:val="20"/>
          <w:szCs w:val="20"/>
          <w:lang w:eastAsia="en-GB"/>
          <w14:ligatures w14:val="none"/>
        </w:rPr>
        <w:t>‑</w:t>
      </w:r>
      <w:r w:rsidR="00A178BA" w:rsidRPr="00A178BA">
        <w:rPr>
          <w:rFonts w:ascii="Arial" w:eastAsia="Times New Roman" w:hAnsi="Arial" w:cs="Arial"/>
          <w:color w:val="0F1115"/>
          <w:kern w:val="0"/>
          <w:sz w:val="20"/>
          <w:szCs w:val="20"/>
          <w:lang w:eastAsia="en-GB"/>
          <w14:ligatures w14:val="none"/>
        </w:rPr>
        <w:t xml:space="preserve">whisker plot </w:t>
      </w:r>
      <w:r>
        <w:rPr>
          <w:rFonts w:ascii="Arial" w:eastAsia="Times New Roman" w:hAnsi="Arial" w:cs="Arial"/>
          <w:color w:val="0F1115"/>
          <w:kern w:val="0"/>
          <w:sz w:val="20"/>
          <w:szCs w:val="20"/>
          <w:lang w:eastAsia="en-GB"/>
          <w14:ligatures w14:val="none"/>
        </w:rPr>
        <w:t>shows</w:t>
      </w:r>
      <w:r w:rsidR="00A178BA" w:rsidRPr="00A178BA">
        <w:rPr>
          <w:rFonts w:ascii="Arial" w:eastAsia="Times New Roman" w:hAnsi="Arial" w:cs="Arial"/>
          <w:color w:val="0F1115"/>
          <w:kern w:val="0"/>
          <w:sz w:val="20"/>
          <w:szCs w:val="20"/>
          <w:lang w:eastAsia="en-GB"/>
          <w14:ligatures w14:val="none"/>
        </w:rPr>
        <w:t xml:space="preserve"> serum DPPX levels (ng/mL) in epilepsy patients (n=50) and healthy controls (n=50). The horizontal line inside each box represents the median, the box spans the interquartile range (IQR), and the whiskers extend to the minimum </w:t>
      </w:r>
      <w:r w:rsidR="00A178BA" w:rsidRPr="00A178BA">
        <w:rPr>
          <w:rFonts w:ascii="Arial" w:eastAsia="Times New Roman" w:hAnsi="Arial" w:cs="Arial"/>
          <w:color w:val="0F1115"/>
          <w:kern w:val="0"/>
          <w:sz w:val="20"/>
          <w:szCs w:val="20"/>
          <w:lang w:eastAsia="en-GB"/>
          <w14:ligatures w14:val="none"/>
        </w:rPr>
        <w:t>and maximum values (excluding outliers). Mean values are indicated by a green diamond. DPPX levels were significantly lower in epilepsy patients (mean 47.02±4.33 ng/mL) than in controls (mean 83.68±7.38 ng/mL; P=0.001).</w:t>
      </w:r>
    </w:p>
    <w:p w14:paraId="7C9A9843" w14:textId="77777777" w:rsidR="00785A6C" w:rsidRDefault="00785A6C" w:rsidP="00A178B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num="2" w:space="432"/>
          <w:docGrid w:linePitch="360"/>
        </w:sectPr>
      </w:pPr>
    </w:p>
    <w:p w14:paraId="42E34064" w14:textId="1B54990C" w:rsidR="00A178BA" w:rsidRDefault="00A178BA" w:rsidP="00A178B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4E9ED83" w14:textId="6A9078BA" w:rsidR="00217A11" w:rsidRPr="006C191A" w:rsidRDefault="00487CFF" w:rsidP="00A1287B">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val="en-US"/>
          <w14:ligatures w14:val="none"/>
        </w:rPr>
        <w:drawing>
          <wp:inline distT="0" distB="0" distL="0" distR="0" wp14:anchorId="3C35B2B4" wp14:editId="4A8873BB">
            <wp:extent cx="2905020" cy="1936679"/>
            <wp:effectExtent l="0" t="0" r="0" b="6985"/>
            <wp:docPr id="306065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55876" cy="1970583"/>
                    </a:xfrm>
                    <a:prstGeom prst="rect">
                      <a:avLst/>
                    </a:prstGeom>
                    <a:noFill/>
                  </pic:spPr>
                </pic:pic>
              </a:graphicData>
            </a:graphic>
          </wp:inline>
        </w:drawing>
      </w:r>
    </w:p>
    <w:p w14:paraId="444F23D0" w14:textId="279C9B16" w:rsidR="00A11562" w:rsidRPr="00487CFF" w:rsidRDefault="006C191A" w:rsidP="00487CFF">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Figure 1</w:t>
      </w:r>
      <w:r w:rsidR="00487CFF">
        <w:rPr>
          <w:rFonts w:ascii="Arial" w:eastAsia="Times New Roman" w:hAnsi="Arial" w:cs="Arial"/>
          <w:b/>
          <w:bCs/>
          <w:color w:val="0F1115"/>
          <w:kern w:val="0"/>
          <w:sz w:val="20"/>
          <w:szCs w:val="20"/>
          <w:lang w:eastAsia="en-GB"/>
          <w14:ligatures w14:val="none"/>
        </w:rPr>
        <w:t>A</w:t>
      </w:r>
      <w:r w:rsidRPr="006C191A">
        <w:rPr>
          <w:rFonts w:ascii="Arial" w:eastAsia="Times New Roman" w:hAnsi="Arial" w:cs="Arial"/>
          <w:b/>
          <w:bCs/>
          <w:color w:val="0F1115"/>
          <w:kern w:val="0"/>
          <w:sz w:val="20"/>
          <w:szCs w:val="20"/>
          <w:lang w:eastAsia="en-GB"/>
          <w14:ligatures w14:val="none"/>
        </w:rPr>
        <w:t>:</w:t>
      </w:r>
      <w:r w:rsidRPr="00487CFF">
        <w:rPr>
          <w:rFonts w:ascii="Arial" w:eastAsia="Times New Roman" w:hAnsi="Arial" w:cs="Arial"/>
          <w:b/>
          <w:bCs/>
          <w:color w:val="0F1115"/>
          <w:kern w:val="0"/>
          <w:sz w:val="20"/>
          <w:szCs w:val="20"/>
          <w:lang w:eastAsia="en-GB"/>
          <w14:ligatures w14:val="none"/>
        </w:rPr>
        <w:t xml:space="preserve"> Box</w:t>
      </w:r>
      <w:r w:rsidRPr="00487CFF">
        <w:rPr>
          <w:rFonts w:ascii="Arial" w:eastAsia="Times New Roman" w:hAnsi="Arial" w:cs="Arial"/>
          <w:b/>
          <w:bCs/>
          <w:color w:val="0F1115"/>
          <w:kern w:val="0"/>
          <w:sz w:val="20"/>
          <w:szCs w:val="20"/>
          <w:lang w:eastAsia="en-GB"/>
          <w14:ligatures w14:val="none"/>
        </w:rPr>
        <w:noBreakHyphen/>
        <w:t>and</w:t>
      </w:r>
      <w:r w:rsidRPr="00487CFF">
        <w:rPr>
          <w:rFonts w:ascii="Arial" w:eastAsia="Times New Roman" w:hAnsi="Arial" w:cs="Arial"/>
          <w:b/>
          <w:bCs/>
          <w:color w:val="0F1115"/>
          <w:kern w:val="0"/>
          <w:sz w:val="20"/>
          <w:szCs w:val="20"/>
          <w:lang w:eastAsia="en-GB"/>
          <w14:ligatures w14:val="none"/>
        </w:rPr>
        <w:noBreakHyphen/>
        <w:t>whisker plot showing serum DPPX levels in epilepsy patients and healthy controls</w:t>
      </w:r>
    </w:p>
    <w:p w14:paraId="4F6F2FDB"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BE102CF"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space="720"/>
          <w:docGrid w:linePitch="360"/>
        </w:sectPr>
      </w:pPr>
    </w:p>
    <w:p w14:paraId="2CFA224D" w14:textId="31EF968B" w:rsidR="00A11562" w:rsidRDefault="00CB163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Pr>
          <w:rFonts w:ascii="Arial" w:eastAsia="Times New Roman" w:hAnsi="Arial" w:cs="Arial"/>
          <w:color w:val="0F1115"/>
          <w:kern w:val="0"/>
          <w:sz w:val="20"/>
          <w:szCs w:val="20"/>
          <w:lang w:eastAsia="en-GB"/>
          <w14:ligatures w14:val="none"/>
        </w:rPr>
        <w:t>Figure 1</w:t>
      </w:r>
      <w:r w:rsidRPr="00A178BA">
        <w:rPr>
          <w:rFonts w:ascii="Arial" w:eastAsia="Times New Roman" w:hAnsi="Arial" w:cs="Arial"/>
          <w:color w:val="0F1115"/>
          <w:kern w:val="0"/>
          <w:sz w:val="20"/>
          <w:szCs w:val="20"/>
          <w:lang w:eastAsia="en-GB"/>
          <w14:ligatures w14:val="none"/>
        </w:rPr>
        <w:t>B</w:t>
      </w:r>
      <w:r>
        <w:rPr>
          <w:rFonts w:ascii="Arial" w:eastAsia="Times New Roman" w:hAnsi="Arial" w:cs="Arial"/>
          <w:color w:val="0F1115"/>
          <w:kern w:val="0"/>
          <w:sz w:val="20"/>
          <w:szCs w:val="20"/>
          <w:lang w:eastAsia="en-GB"/>
          <w14:ligatures w14:val="none"/>
        </w:rPr>
        <w:t xml:space="preserve"> shows the </w:t>
      </w:r>
      <w:r w:rsidRPr="00A178BA">
        <w:rPr>
          <w:rFonts w:ascii="Arial" w:eastAsia="Times New Roman" w:hAnsi="Arial" w:cs="Arial"/>
          <w:color w:val="0F1115"/>
          <w:kern w:val="0"/>
          <w:sz w:val="20"/>
          <w:szCs w:val="20"/>
          <w:lang w:eastAsia="en-GB"/>
          <w14:ligatures w14:val="none"/>
        </w:rPr>
        <w:t xml:space="preserve">Receiver operating characteristic (ROC) curve for serum DPPX discriminating epilepsy patients from healthy controls. The area under the curve (AUC) is 0.721 (95% CI: 0.623–0.819; P=0.001). The </w:t>
      </w:r>
      <w:r w:rsidRPr="00A178BA">
        <w:rPr>
          <w:rFonts w:ascii="Arial" w:eastAsia="Times New Roman" w:hAnsi="Arial" w:cs="Arial"/>
          <w:color w:val="0F1115"/>
          <w:kern w:val="0"/>
          <w:sz w:val="20"/>
          <w:szCs w:val="20"/>
          <w:lang w:eastAsia="en-GB"/>
          <w14:ligatures w14:val="none"/>
        </w:rPr>
        <w:t>diagonal dashed line represents chance performance (AUC=0.5). The optimal cut</w:t>
      </w:r>
      <w:r w:rsidRPr="00A178BA">
        <w:rPr>
          <w:rFonts w:ascii="Cambria Math" w:eastAsia="Times New Roman" w:hAnsi="Cambria Math" w:cs="Cambria Math"/>
          <w:color w:val="0F1115"/>
          <w:kern w:val="0"/>
          <w:sz w:val="20"/>
          <w:szCs w:val="20"/>
          <w:lang w:eastAsia="en-GB"/>
          <w14:ligatures w14:val="none"/>
        </w:rPr>
        <w:t>‑</w:t>
      </w:r>
      <w:r w:rsidRPr="00A178BA">
        <w:rPr>
          <w:rFonts w:ascii="Arial" w:eastAsia="Times New Roman" w:hAnsi="Arial" w:cs="Arial"/>
          <w:color w:val="0F1115"/>
          <w:kern w:val="0"/>
          <w:sz w:val="20"/>
          <w:szCs w:val="20"/>
          <w:lang w:eastAsia="en-GB"/>
          <w14:ligatures w14:val="none"/>
        </w:rPr>
        <w:t>off value (&lt;46.69 ng/mL) yields a sensitivity of 70.0% and a specificity of 74.0%.</w:t>
      </w:r>
    </w:p>
    <w:p w14:paraId="3235A541"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num="2" w:space="432"/>
          <w:docGrid w:linePitch="360"/>
        </w:sectPr>
      </w:pPr>
    </w:p>
    <w:p w14:paraId="48F14B42"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8F4005B" w14:textId="361CD0DC" w:rsidR="00A11562" w:rsidRDefault="00A11562" w:rsidP="00A1156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val="en-US"/>
          <w14:ligatures w14:val="none"/>
        </w:rPr>
        <w:lastRenderedPageBreak/>
        <w:drawing>
          <wp:inline distT="0" distB="0" distL="0" distR="0" wp14:anchorId="4F70A6F2" wp14:editId="0A122304">
            <wp:extent cx="2815040" cy="1731196"/>
            <wp:effectExtent l="0" t="0" r="4445" b="2540"/>
            <wp:docPr id="1021483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5369" cy="1762147"/>
                    </a:xfrm>
                    <a:prstGeom prst="rect">
                      <a:avLst/>
                    </a:prstGeom>
                    <a:noFill/>
                  </pic:spPr>
                </pic:pic>
              </a:graphicData>
            </a:graphic>
          </wp:inline>
        </w:drawing>
      </w:r>
    </w:p>
    <w:p w14:paraId="078F54E6" w14:textId="6A0B2176" w:rsidR="008C1FE6" w:rsidRPr="008C1FE6" w:rsidRDefault="00EB2945" w:rsidP="008C1FE6">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8C1FE6">
        <w:rPr>
          <w:rFonts w:ascii="Arial" w:eastAsia="Times New Roman" w:hAnsi="Arial" w:cs="Arial"/>
          <w:b/>
          <w:bCs/>
          <w:color w:val="0F1115"/>
          <w:kern w:val="0"/>
          <w:sz w:val="20"/>
          <w:szCs w:val="20"/>
          <w:lang w:eastAsia="en-GB"/>
          <w14:ligatures w14:val="none"/>
        </w:rPr>
        <w:t>Figure 1B:</w:t>
      </w:r>
      <w:r w:rsidR="006C191A" w:rsidRPr="008C1FE6">
        <w:rPr>
          <w:rFonts w:ascii="Arial" w:eastAsia="Times New Roman" w:hAnsi="Arial" w:cs="Arial"/>
          <w:b/>
          <w:bCs/>
          <w:color w:val="0F1115"/>
          <w:kern w:val="0"/>
          <w:sz w:val="20"/>
          <w:szCs w:val="20"/>
          <w:lang w:eastAsia="en-GB"/>
          <w14:ligatures w14:val="none"/>
        </w:rPr>
        <w:t xml:space="preserve"> Receiver operating characteristic (ROC) curve for serum DPPX discriminating epilepsy patients from healthy controls</w:t>
      </w:r>
    </w:p>
    <w:p w14:paraId="56C77260" w14:textId="20B8BBD8" w:rsidR="006C191A" w:rsidRPr="003E0007" w:rsidRDefault="006C191A" w:rsidP="008C1FE6">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3E0007">
        <w:rPr>
          <w:rFonts w:ascii="Arial" w:eastAsia="Times New Roman" w:hAnsi="Arial" w:cs="Arial"/>
          <w:color w:val="0F1115"/>
          <w:kern w:val="0"/>
          <w:sz w:val="20"/>
          <w:szCs w:val="20"/>
          <w:lang w:eastAsia="en-GB"/>
          <w14:ligatures w14:val="none"/>
        </w:rPr>
        <w:t>The diagonal reference line represents chance performance (AUC=0.5)</w:t>
      </w:r>
    </w:p>
    <w:p w14:paraId="1FF38C38" w14:textId="77777777" w:rsidR="0049611E" w:rsidRPr="006C191A" w:rsidRDefault="0049611E"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F117160" w14:textId="77777777" w:rsidR="00785A6C" w:rsidRDefault="00785A6C"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785A6C" w:rsidSect="00785A6C">
          <w:type w:val="continuous"/>
          <w:pgSz w:w="11906" w:h="16838"/>
          <w:pgMar w:top="1440" w:right="1440" w:bottom="1440" w:left="1440" w:header="720" w:footer="720" w:gutter="0"/>
          <w:cols w:space="720"/>
          <w:docGrid w:linePitch="360"/>
        </w:sectPr>
      </w:pPr>
    </w:p>
    <w:p w14:paraId="3C7BC25D" w14:textId="77777777" w:rsidR="006C191A" w:rsidRPr="00B902E4"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B902E4">
        <w:rPr>
          <w:rFonts w:ascii="Arial" w:eastAsia="Times New Roman" w:hAnsi="Arial" w:cs="Arial"/>
          <w:i/>
          <w:iCs/>
          <w:color w:val="0F1115"/>
          <w:kern w:val="0"/>
          <w:sz w:val="20"/>
          <w:szCs w:val="20"/>
          <w:lang w:eastAsia="en-GB"/>
          <w14:ligatures w14:val="none"/>
        </w:rPr>
        <w:t>DPPX Levels by Disease Duration</w:t>
      </w:r>
    </w:p>
    <w:p w14:paraId="72DC3C6E"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 xml:space="preserve">Among epilepsy patients, the mean serum DPPX level was 45.16±6.48 ng/mL in those with disease duration ≤10 years (n=22) and 48.49±5.92 ng/mL in those with disease duration </w:t>
      </w:r>
      <w:r w:rsidRPr="006C191A">
        <w:rPr>
          <w:rFonts w:ascii="Arial" w:eastAsia="Times New Roman" w:hAnsi="Arial" w:cs="Arial"/>
          <w:color w:val="0F1115"/>
          <w:kern w:val="0"/>
          <w:sz w:val="20"/>
          <w:szCs w:val="20"/>
          <w:lang w:eastAsia="en-GB"/>
          <w14:ligatures w14:val="none"/>
        </w:rPr>
        <w:t>&gt;10 years (n=28). This difference was not statistically significant (mean difference 3.33 ng/mL, 95% CI: –6.67 to 13.33; P=0.707; Table 4).</w:t>
      </w:r>
    </w:p>
    <w:p w14:paraId="6B3743A4" w14:textId="77777777" w:rsidR="00785A6C" w:rsidRDefault="00785A6C"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785A6C" w:rsidSect="00785A6C">
          <w:type w:val="continuous"/>
          <w:pgSz w:w="11906" w:h="16838"/>
          <w:pgMar w:top="1440" w:right="1440" w:bottom="1440" w:left="1440" w:header="720" w:footer="720" w:gutter="0"/>
          <w:cols w:num="2" w:space="432"/>
          <w:docGrid w:linePitch="360"/>
        </w:sectPr>
      </w:pPr>
    </w:p>
    <w:p w14:paraId="194CB61E" w14:textId="77777777" w:rsidR="00B902E4" w:rsidRPr="006C191A" w:rsidRDefault="00B902E4"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6072F37" w14:textId="77777777" w:rsidR="006C191A" w:rsidRPr="00B902E4" w:rsidRDefault="006C191A" w:rsidP="00B902E4">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B902E4">
        <w:rPr>
          <w:rFonts w:ascii="Arial" w:eastAsia="Times New Roman" w:hAnsi="Arial" w:cs="Arial"/>
          <w:b/>
          <w:bCs/>
          <w:color w:val="0F1115"/>
          <w:kern w:val="0"/>
          <w:sz w:val="20"/>
          <w:szCs w:val="20"/>
          <w:lang w:eastAsia="en-GB"/>
          <w14:ligatures w14:val="none"/>
        </w:rPr>
        <w:t>Table 4: Serum DPPX levels according to epilepsy disease duration</w:t>
      </w:r>
    </w:p>
    <w:tbl>
      <w:tblPr>
        <w:tblW w:w="5654" w:type="dxa"/>
        <w:jc w:val="center"/>
        <w:tblLook w:val="04A0" w:firstRow="1" w:lastRow="0" w:firstColumn="1" w:lastColumn="0" w:noHBand="0" w:noVBand="1"/>
      </w:tblPr>
      <w:tblGrid>
        <w:gridCol w:w="1939"/>
        <w:gridCol w:w="439"/>
        <w:gridCol w:w="2126"/>
        <w:gridCol w:w="1150"/>
      </w:tblGrid>
      <w:tr w:rsidR="00DC6E46" w:rsidRPr="00DC6E46" w14:paraId="7A157C56" w14:textId="77777777" w:rsidTr="003E0007">
        <w:trPr>
          <w:trHeight w:val="50"/>
          <w:jc w:val="center"/>
        </w:trPr>
        <w:tc>
          <w:tcPr>
            <w:tcW w:w="1939" w:type="dxa"/>
            <w:tcBorders>
              <w:top w:val="single" w:sz="4" w:space="0" w:color="auto"/>
              <w:left w:val="nil"/>
              <w:bottom w:val="single" w:sz="4" w:space="0" w:color="auto"/>
              <w:right w:val="nil"/>
            </w:tcBorders>
            <w:noWrap/>
            <w:vAlign w:val="center"/>
            <w:hideMark/>
          </w:tcPr>
          <w:p w14:paraId="55772E28" w14:textId="77777777" w:rsidR="00DC6E46" w:rsidRPr="00DC6E46" w:rsidRDefault="00DC6E46" w:rsidP="00DC6E46">
            <w:pPr>
              <w:spacing w:after="0" w:line="240" w:lineRule="auto"/>
              <w:rPr>
                <w:rFonts w:ascii="Arial" w:eastAsia="Times New Roman" w:hAnsi="Arial" w:cs="Arial"/>
                <w:b/>
                <w:bCs/>
                <w:color w:val="000000"/>
                <w:kern w:val="0"/>
                <w:sz w:val="20"/>
                <w:szCs w:val="20"/>
                <w:lang w:eastAsia="en-GB"/>
                <w14:ligatures w14:val="none"/>
              </w:rPr>
            </w:pPr>
            <w:r w:rsidRPr="00DC6E46">
              <w:rPr>
                <w:rFonts w:ascii="Arial" w:eastAsia="Times New Roman" w:hAnsi="Arial" w:cs="Arial"/>
                <w:b/>
                <w:bCs/>
                <w:color w:val="000000"/>
                <w:kern w:val="0"/>
                <w:sz w:val="20"/>
                <w:szCs w:val="20"/>
                <w:lang w:eastAsia="en-GB"/>
                <w14:ligatures w14:val="none"/>
              </w:rPr>
              <w:t>Disease duration</w:t>
            </w:r>
          </w:p>
        </w:tc>
        <w:tc>
          <w:tcPr>
            <w:tcW w:w="439" w:type="dxa"/>
            <w:tcBorders>
              <w:top w:val="single" w:sz="4" w:space="0" w:color="auto"/>
              <w:left w:val="nil"/>
              <w:bottom w:val="single" w:sz="4" w:space="0" w:color="auto"/>
              <w:right w:val="nil"/>
            </w:tcBorders>
            <w:noWrap/>
            <w:vAlign w:val="center"/>
            <w:hideMark/>
          </w:tcPr>
          <w:p w14:paraId="5832A659" w14:textId="77777777" w:rsidR="00DC6E46" w:rsidRPr="00DC6E46" w:rsidRDefault="00DC6E46" w:rsidP="00DC6E46">
            <w:pPr>
              <w:spacing w:after="0" w:line="240" w:lineRule="auto"/>
              <w:rPr>
                <w:rFonts w:ascii="Arial" w:eastAsia="Times New Roman" w:hAnsi="Arial" w:cs="Arial"/>
                <w:b/>
                <w:bCs/>
                <w:color w:val="000000"/>
                <w:kern w:val="0"/>
                <w:sz w:val="20"/>
                <w:szCs w:val="20"/>
                <w:lang w:eastAsia="en-GB"/>
                <w14:ligatures w14:val="none"/>
              </w:rPr>
            </w:pPr>
            <w:r w:rsidRPr="00DC6E46">
              <w:rPr>
                <w:rFonts w:ascii="Arial" w:eastAsia="Times New Roman" w:hAnsi="Arial" w:cs="Arial"/>
                <w:b/>
                <w:bCs/>
                <w:color w:val="000000"/>
                <w:kern w:val="0"/>
                <w:sz w:val="20"/>
                <w:szCs w:val="20"/>
                <w:lang w:eastAsia="en-GB"/>
                <w14:ligatures w14:val="none"/>
              </w:rPr>
              <w:t>n</w:t>
            </w:r>
          </w:p>
        </w:tc>
        <w:tc>
          <w:tcPr>
            <w:tcW w:w="2126" w:type="dxa"/>
            <w:tcBorders>
              <w:top w:val="single" w:sz="4" w:space="0" w:color="auto"/>
              <w:left w:val="nil"/>
              <w:bottom w:val="single" w:sz="4" w:space="0" w:color="auto"/>
              <w:right w:val="nil"/>
            </w:tcBorders>
            <w:noWrap/>
            <w:vAlign w:val="center"/>
            <w:hideMark/>
          </w:tcPr>
          <w:p w14:paraId="2A247ACD" w14:textId="77777777" w:rsidR="00DC6E46" w:rsidRPr="00DC6E46" w:rsidRDefault="00DC6E46" w:rsidP="00DC6E46">
            <w:pPr>
              <w:spacing w:after="0" w:line="240" w:lineRule="auto"/>
              <w:rPr>
                <w:rFonts w:ascii="Arial" w:eastAsia="Times New Roman" w:hAnsi="Arial" w:cs="Arial"/>
                <w:b/>
                <w:bCs/>
                <w:color w:val="000000"/>
                <w:kern w:val="0"/>
                <w:sz w:val="20"/>
                <w:szCs w:val="20"/>
                <w:lang w:eastAsia="en-GB"/>
                <w14:ligatures w14:val="none"/>
              </w:rPr>
            </w:pPr>
            <w:r w:rsidRPr="00DC6E46">
              <w:rPr>
                <w:rFonts w:ascii="Arial" w:eastAsia="Times New Roman" w:hAnsi="Arial" w:cs="Arial"/>
                <w:b/>
                <w:bCs/>
                <w:color w:val="000000"/>
                <w:kern w:val="0"/>
                <w:sz w:val="20"/>
                <w:szCs w:val="20"/>
                <w:lang w:eastAsia="en-GB"/>
                <w14:ligatures w14:val="none"/>
              </w:rPr>
              <w:t>Mean ± SD (ng/mL)</w:t>
            </w:r>
          </w:p>
        </w:tc>
        <w:tc>
          <w:tcPr>
            <w:tcW w:w="1150" w:type="dxa"/>
            <w:tcBorders>
              <w:top w:val="single" w:sz="4" w:space="0" w:color="auto"/>
              <w:left w:val="nil"/>
              <w:bottom w:val="single" w:sz="4" w:space="0" w:color="auto"/>
              <w:right w:val="nil"/>
            </w:tcBorders>
            <w:noWrap/>
            <w:vAlign w:val="center"/>
            <w:hideMark/>
          </w:tcPr>
          <w:p w14:paraId="5487D57A" w14:textId="77777777" w:rsidR="00DC6E46" w:rsidRPr="00DC6E46" w:rsidRDefault="00DC6E46" w:rsidP="00DC6E46">
            <w:pPr>
              <w:spacing w:after="0" w:line="240" w:lineRule="auto"/>
              <w:rPr>
                <w:rFonts w:ascii="Arial" w:eastAsia="Times New Roman" w:hAnsi="Arial" w:cs="Arial"/>
                <w:b/>
                <w:bCs/>
                <w:color w:val="000000"/>
                <w:kern w:val="0"/>
                <w:sz w:val="20"/>
                <w:szCs w:val="20"/>
                <w:lang w:eastAsia="en-GB"/>
                <w14:ligatures w14:val="none"/>
              </w:rPr>
            </w:pPr>
            <w:r w:rsidRPr="00DC6E46">
              <w:rPr>
                <w:rFonts w:ascii="Arial" w:eastAsia="Times New Roman" w:hAnsi="Arial" w:cs="Arial"/>
                <w:b/>
                <w:bCs/>
                <w:color w:val="000000"/>
                <w:kern w:val="0"/>
                <w:sz w:val="20"/>
                <w:szCs w:val="20"/>
                <w:lang w:eastAsia="en-GB"/>
                <w14:ligatures w14:val="none"/>
              </w:rPr>
              <w:t>P-value†</w:t>
            </w:r>
          </w:p>
        </w:tc>
      </w:tr>
      <w:tr w:rsidR="00DC6E46" w:rsidRPr="00DC6E46" w14:paraId="056905AF" w14:textId="77777777" w:rsidTr="003E0007">
        <w:trPr>
          <w:trHeight w:val="50"/>
          <w:jc w:val="center"/>
        </w:trPr>
        <w:tc>
          <w:tcPr>
            <w:tcW w:w="1939" w:type="dxa"/>
            <w:tcBorders>
              <w:top w:val="nil"/>
              <w:left w:val="nil"/>
              <w:bottom w:val="nil"/>
              <w:right w:val="nil"/>
            </w:tcBorders>
            <w:noWrap/>
            <w:vAlign w:val="center"/>
            <w:hideMark/>
          </w:tcPr>
          <w:p w14:paraId="254FF956" w14:textId="77777777" w:rsidR="00DC6E46" w:rsidRPr="00DC6E46" w:rsidRDefault="00DC6E46" w:rsidP="00DC6E46">
            <w:pPr>
              <w:spacing w:after="0" w:line="240" w:lineRule="auto"/>
              <w:rPr>
                <w:rFonts w:ascii="Arial" w:eastAsia="Times New Roman" w:hAnsi="Arial" w:cs="Arial"/>
                <w:color w:val="000000"/>
                <w:kern w:val="0"/>
                <w:sz w:val="20"/>
                <w:szCs w:val="20"/>
                <w:lang w:eastAsia="en-GB"/>
                <w14:ligatures w14:val="none"/>
              </w:rPr>
            </w:pPr>
            <w:r w:rsidRPr="00DC6E46">
              <w:rPr>
                <w:rFonts w:ascii="Arial" w:eastAsia="Times New Roman" w:hAnsi="Arial" w:cs="Arial"/>
                <w:color w:val="000000"/>
                <w:kern w:val="0"/>
                <w:sz w:val="20"/>
                <w:szCs w:val="20"/>
                <w:lang w:eastAsia="en-GB"/>
                <w14:ligatures w14:val="none"/>
              </w:rPr>
              <w:t>≤10 years</w:t>
            </w:r>
          </w:p>
        </w:tc>
        <w:tc>
          <w:tcPr>
            <w:tcW w:w="439" w:type="dxa"/>
            <w:tcBorders>
              <w:top w:val="nil"/>
              <w:left w:val="nil"/>
              <w:bottom w:val="nil"/>
              <w:right w:val="nil"/>
            </w:tcBorders>
            <w:noWrap/>
            <w:vAlign w:val="center"/>
            <w:hideMark/>
          </w:tcPr>
          <w:p w14:paraId="081D2918" w14:textId="77777777" w:rsidR="00DC6E46" w:rsidRPr="00DC6E46" w:rsidRDefault="00DC6E46" w:rsidP="003E0007">
            <w:pPr>
              <w:spacing w:after="0" w:line="240" w:lineRule="auto"/>
              <w:jc w:val="center"/>
              <w:rPr>
                <w:rFonts w:ascii="Arial" w:eastAsia="Times New Roman" w:hAnsi="Arial" w:cs="Arial"/>
                <w:color w:val="000000"/>
                <w:kern w:val="0"/>
                <w:sz w:val="20"/>
                <w:szCs w:val="20"/>
                <w:lang w:eastAsia="en-GB"/>
                <w14:ligatures w14:val="none"/>
              </w:rPr>
            </w:pPr>
            <w:r w:rsidRPr="00DC6E46">
              <w:rPr>
                <w:rFonts w:ascii="Arial" w:eastAsia="Times New Roman" w:hAnsi="Arial" w:cs="Arial"/>
                <w:color w:val="000000"/>
                <w:kern w:val="0"/>
                <w:sz w:val="20"/>
                <w:szCs w:val="20"/>
                <w:lang w:eastAsia="en-GB"/>
                <w14:ligatures w14:val="none"/>
              </w:rPr>
              <w:t>22</w:t>
            </w:r>
          </w:p>
        </w:tc>
        <w:tc>
          <w:tcPr>
            <w:tcW w:w="2126" w:type="dxa"/>
            <w:tcBorders>
              <w:top w:val="nil"/>
              <w:left w:val="nil"/>
              <w:bottom w:val="nil"/>
              <w:right w:val="nil"/>
            </w:tcBorders>
            <w:noWrap/>
            <w:vAlign w:val="center"/>
            <w:hideMark/>
          </w:tcPr>
          <w:p w14:paraId="61BE30D1" w14:textId="77777777" w:rsidR="00DC6E46" w:rsidRPr="00DC6E46" w:rsidRDefault="00DC6E46" w:rsidP="003E0007">
            <w:pPr>
              <w:spacing w:after="0" w:line="240" w:lineRule="auto"/>
              <w:jc w:val="center"/>
              <w:rPr>
                <w:rFonts w:ascii="Arial" w:eastAsia="Times New Roman" w:hAnsi="Arial" w:cs="Arial"/>
                <w:color w:val="000000"/>
                <w:kern w:val="0"/>
                <w:sz w:val="20"/>
                <w:szCs w:val="20"/>
                <w:lang w:eastAsia="en-GB"/>
                <w14:ligatures w14:val="none"/>
              </w:rPr>
            </w:pPr>
            <w:r w:rsidRPr="00DC6E46">
              <w:rPr>
                <w:rFonts w:ascii="Arial" w:eastAsia="Times New Roman" w:hAnsi="Arial" w:cs="Arial"/>
                <w:color w:val="000000"/>
                <w:kern w:val="0"/>
                <w:sz w:val="20"/>
                <w:szCs w:val="20"/>
                <w:lang w:eastAsia="en-GB"/>
                <w14:ligatures w14:val="none"/>
              </w:rPr>
              <w:t>45.16 ± 6.48</w:t>
            </w:r>
          </w:p>
        </w:tc>
        <w:tc>
          <w:tcPr>
            <w:tcW w:w="1150" w:type="dxa"/>
            <w:tcBorders>
              <w:top w:val="nil"/>
              <w:left w:val="nil"/>
              <w:bottom w:val="nil"/>
              <w:right w:val="nil"/>
            </w:tcBorders>
            <w:noWrap/>
            <w:vAlign w:val="center"/>
            <w:hideMark/>
          </w:tcPr>
          <w:p w14:paraId="5863BD7B" w14:textId="77777777" w:rsidR="00DC6E46" w:rsidRPr="00DC6E46" w:rsidRDefault="00DC6E46" w:rsidP="003E0007">
            <w:pPr>
              <w:spacing w:after="0" w:line="240" w:lineRule="auto"/>
              <w:jc w:val="center"/>
              <w:rPr>
                <w:rFonts w:ascii="Arial" w:eastAsia="Times New Roman" w:hAnsi="Arial" w:cs="Arial"/>
                <w:color w:val="000000"/>
                <w:kern w:val="0"/>
                <w:sz w:val="20"/>
                <w:szCs w:val="20"/>
                <w:lang w:eastAsia="en-GB"/>
                <w14:ligatures w14:val="none"/>
              </w:rPr>
            </w:pPr>
          </w:p>
        </w:tc>
      </w:tr>
      <w:tr w:rsidR="00DC6E46" w:rsidRPr="00DC6E46" w14:paraId="336A43E5" w14:textId="77777777" w:rsidTr="003E0007">
        <w:trPr>
          <w:trHeight w:val="60"/>
          <w:jc w:val="center"/>
        </w:trPr>
        <w:tc>
          <w:tcPr>
            <w:tcW w:w="1939" w:type="dxa"/>
            <w:tcBorders>
              <w:top w:val="nil"/>
              <w:left w:val="nil"/>
              <w:bottom w:val="single" w:sz="4" w:space="0" w:color="auto"/>
              <w:right w:val="nil"/>
            </w:tcBorders>
            <w:noWrap/>
            <w:vAlign w:val="center"/>
            <w:hideMark/>
          </w:tcPr>
          <w:p w14:paraId="290BB091" w14:textId="77777777" w:rsidR="00DC6E46" w:rsidRPr="00DC6E46" w:rsidRDefault="00DC6E46" w:rsidP="00DC6E46">
            <w:pPr>
              <w:spacing w:after="0" w:line="240" w:lineRule="auto"/>
              <w:rPr>
                <w:rFonts w:ascii="Arial" w:eastAsia="Times New Roman" w:hAnsi="Arial" w:cs="Arial"/>
                <w:color w:val="000000"/>
                <w:kern w:val="0"/>
                <w:sz w:val="20"/>
                <w:szCs w:val="20"/>
                <w:lang w:eastAsia="en-GB"/>
                <w14:ligatures w14:val="none"/>
              </w:rPr>
            </w:pPr>
            <w:r w:rsidRPr="00DC6E46">
              <w:rPr>
                <w:rFonts w:ascii="Arial" w:eastAsia="Times New Roman" w:hAnsi="Arial" w:cs="Arial"/>
                <w:color w:val="000000"/>
                <w:kern w:val="0"/>
                <w:sz w:val="20"/>
                <w:szCs w:val="20"/>
                <w:lang w:eastAsia="en-GB"/>
                <w14:ligatures w14:val="none"/>
              </w:rPr>
              <w:t>&gt;10 years</w:t>
            </w:r>
          </w:p>
        </w:tc>
        <w:tc>
          <w:tcPr>
            <w:tcW w:w="439" w:type="dxa"/>
            <w:tcBorders>
              <w:top w:val="nil"/>
              <w:left w:val="nil"/>
              <w:bottom w:val="single" w:sz="4" w:space="0" w:color="auto"/>
              <w:right w:val="nil"/>
            </w:tcBorders>
            <w:noWrap/>
            <w:vAlign w:val="center"/>
            <w:hideMark/>
          </w:tcPr>
          <w:p w14:paraId="408161AC" w14:textId="77777777" w:rsidR="00DC6E46" w:rsidRPr="00DC6E46" w:rsidRDefault="00DC6E46" w:rsidP="003E0007">
            <w:pPr>
              <w:spacing w:after="0" w:line="240" w:lineRule="auto"/>
              <w:jc w:val="center"/>
              <w:rPr>
                <w:rFonts w:ascii="Arial" w:eastAsia="Times New Roman" w:hAnsi="Arial" w:cs="Arial"/>
                <w:color w:val="000000"/>
                <w:kern w:val="0"/>
                <w:sz w:val="20"/>
                <w:szCs w:val="20"/>
                <w:lang w:eastAsia="en-GB"/>
                <w14:ligatures w14:val="none"/>
              </w:rPr>
            </w:pPr>
            <w:r w:rsidRPr="00DC6E46">
              <w:rPr>
                <w:rFonts w:ascii="Arial" w:eastAsia="Times New Roman" w:hAnsi="Arial" w:cs="Arial"/>
                <w:color w:val="000000"/>
                <w:kern w:val="0"/>
                <w:sz w:val="20"/>
                <w:szCs w:val="20"/>
                <w:lang w:eastAsia="en-GB"/>
                <w14:ligatures w14:val="none"/>
              </w:rPr>
              <w:t>28</w:t>
            </w:r>
          </w:p>
        </w:tc>
        <w:tc>
          <w:tcPr>
            <w:tcW w:w="2126" w:type="dxa"/>
            <w:tcBorders>
              <w:top w:val="nil"/>
              <w:left w:val="nil"/>
              <w:bottom w:val="single" w:sz="4" w:space="0" w:color="auto"/>
              <w:right w:val="nil"/>
            </w:tcBorders>
            <w:noWrap/>
            <w:vAlign w:val="center"/>
            <w:hideMark/>
          </w:tcPr>
          <w:p w14:paraId="3E8CE9C3" w14:textId="77777777" w:rsidR="00DC6E46" w:rsidRPr="00DC6E46" w:rsidRDefault="00DC6E46" w:rsidP="003E0007">
            <w:pPr>
              <w:spacing w:after="0" w:line="240" w:lineRule="auto"/>
              <w:jc w:val="center"/>
              <w:rPr>
                <w:rFonts w:ascii="Arial" w:eastAsia="Times New Roman" w:hAnsi="Arial" w:cs="Arial"/>
                <w:color w:val="000000"/>
                <w:kern w:val="0"/>
                <w:sz w:val="20"/>
                <w:szCs w:val="20"/>
                <w:lang w:eastAsia="en-GB"/>
                <w14:ligatures w14:val="none"/>
              </w:rPr>
            </w:pPr>
            <w:r w:rsidRPr="00DC6E46">
              <w:rPr>
                <w:rFonts w:ascii="Arial" w:eastAsia="Times New Roman" w:hAnsi="Arial" w:cs="Arial"/>
                <w:color w:val="000000"/>
                <w:kern w:val="0"/>
                <w:sz w:val="20"/>
                <w:szCs w:val="20"/>
                <w:lang w:eastAsia="en-GB"/>
                <w14:ligatures w14:val="none"/>
              </w:rPr>
              <w:t>48.49 ± 5.92</w:t>
            </w:r>
          </w:p>
        </w:tc>
        <w:tc>
          <w:tcPr>
            <w:tcW w:w="1150" w:type="dxa"/>
            <w:tcBorders>
              <w:top w:val="nil"/>
              <w:left w:val="nil"/>
              <w:bottom w:val="single" w:sz="4" w:space="0" w:color="auto"/>
              <w:right w:val="nil"/>
            </w:tcBorders>
            <w:noWrap/>
            <w:vAlign w:val="center"/>
            <w:hideMark/>
          </w:tcPr>
          <w:p w14:paraId="3EF0B55B" w14:textId="77777777" w:rsidR="00DC6E46" w:rsidRPr="00DC6E46" w:rsidRDefault="00DC6E46" w:rsidP="003E0007">
            <w:pPr>
              <w:spacing w:after="0" w:line="240" w:lineRule="auto"/>
              <w:jc w:val="center"/>
              <w:rPr>
                <w:rFonts w:ascii="Arial" w:eastAsia="Times New Roman" w:hAnsi="Arial" w:cs="Arial"/>
                <w:color w:val="000000"/>
                <w:kern w:val="0"/>
                <w:sz w:val="20"/>
                <w:szCs w:val="20"/>
                <w:lang w:eastAsia="en-GB"/>
                <w14:ligatures w14:val="none"/>
              </w:rPr>
            </w:pPr>
            <w:r w:rsidRPr="00DC6E46">
              <w:rPr>
                <w:rFonts w:ascii="Arial" w:eastAsia="Times New Roman" w:hAnsi="Arial" w:cs="Arial"/>
                <w:color w:val="000000"/>
                <w:kern w:val="0"/>
                <w:sz w:val="20"/>
                <w:szCs w:val="20"/>
                <w:lang w:eastAsia="en-GB"/>
                <w14:ligatures w14:val="none"/>
              </w:rPr>
              <w:t>0.707</w:t>
            </w:r>
          </w:p>
        </w:tc>
      </w:tr>
    </w:tbl>
    <w:p w14:paraId="02C1FA34" w14:textId="7E8507B6" w:rsidR="006C191A" w:rsidRPr="006C191A" w:rsidRDefault="006C191A" w:rsidP="00B902E4">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6C191A">
        <w:rPr>
          <w:rFonts w:ascii="Arial" w:eastAsia="Times New Roman" w:hAnsi="Arial" w:cs="Arial"/>
          <w:i/>
          <w:iCs/>
          <w:color w:val="0F1115"/>
          <w:kern w:val="0"/>
          <w:sz w:val="20"/>
          <w:szCs w:val="20"/>
          <w:lang w:eastAsia="en-GB"/>
          <w14:ligatures w14:val="none"/>
        </w:rPr>
        <w:t>SD, standard deviation; † independent samples t</w:t>
      </w:r>
      <w:r w:rsidRPr="006C191A">
        <w:rPr>
          <w:rFonts w:ascii="Arial" w:eastAsia="Times New Roman" w:hAnsi="Arial" w:cs="Arial"/>
          <w:i/>
          <w:iCs/>
          <w:color w:val="0F1115"/>
          <w:kern w:val="0"/>
          <w:sz w:val="20"/>
          <w:szCs w:val="20"/>
          <w:lang w:eastAsia="en-GB"/>
          <w14:ligatures w14:val="none"/>
        </w:rPr>
        <w:noBreakHyphen/>
        <w:t>test.</w:t>
      </w:r>
    </w:p>
    <w:p w14:paraId="66A84068" w14:textId="368DBAD5" w:rsidR="006C191A" w:rsidRPr="006C191A" w:rsidRDefault="006C191A" w:rsidP="006C191A">
      <w:pPr>
        <w:spacing w:after="0" w:line="240" w:lineRule="auto"/>
        <w:jc w:val="both"/>
        <w:rPr>
          <w:rFonts w:ascii="Arial" w:eastAsia="Times New Roman" w:hAnsi="Arial" w:cs="Arial"/>
          <w:kern w:val="0"/>
          <w:sz w:val="20"/>
          <w:szCs w:val="20"/>
          <w:lang w:eastAsia="en-GB"/>
          <w14:ligatures w14:val="none"/>
        </w:rPr>
      </w:pPr>
    </w:p>
    <w:p w14:paraId="422AEDA1" w14:textId="77777777" w:rsidR="00785A6C" w:rsidRDefault="00785A6C"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785A6C" w:rsidSect="00785A6C">
          <w:type w:val="continuous"/>
          <w:pgSz w:w="11906" w:h="16838"/>
          <w:pgMar w:top="1440" w:right="1440" w:bottom="1440" w:left="1440" w:header="720" w:footer="720" w:gutter="0"/>
          <w:cols w:space="720"/>
          <w:docGrid w:linePitch="360"/>
        </w:sectPr>
      </w:pPr>
    </w:p>
    <w:p w14:paraId="5FBBB35E"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Discussion</w:t>
      </w:r>
    </w:p>
    <w:p w14:paraId="3EDD08F8"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This study provides novel evidence that serum DPPX concentrations are significantly lower in patients with epilepsy compared to age</w:t>
      </w:r>
      <w:r w:rsidRPr="006C191A">
        <w:rPr>
          <w:rFonts w:ascii="Arial" w:eastAsia="Times New Roman" w:hAnsi="Arial" w:cs="Arial"/>
          <w:color w:val="0F1115"/>
          <w:kern w:val="0"/>
          <w:sz w:val="20"/>
          <w:szCs w:val="20"/>
          <w:lang w:eastAsia="en-GB"/>
          <w14:ligatures w14:val="none"/>
        </w:rPr>
        <w:noBreakHyphen/>
        <w:t xml:space="preserve"> and sex</w:t>
      </w:r>
      <w:r w:rsidRPr="006C191A">
        <w:rPr>
          <w:rFonts w:ascii="Arial" w:eastAsia="Times New Roman" w:hAnsi="Arial" w:cs="Arial"/>
          <w:color w:val="0F1115"/>
          <w:kern w:val="0"/>
          <w:sz w:val="20"/>
          <w:szCs w:val="20"/>
          <w:lang w:eastAsia="en-GB"/>
          <w14:ligatures w14:val="none"/>
        </w:rPr>
        <w:noBreakHyphen/>
        <w:t>matched healthy controls. The mean reduction of approximately 36.7 ng/mL (a 44% decrease relative to controls) is substantial and consistent with the hypothesis that DPPX</w:t>
      </w:r>
      <w:r w:rsidRPr="006C191A">
        <w:rPr>
          <w:rFonts w:ascii="Arial" w:eastAsia="Times New Roman" w:hAnsi="Arial" w:cs="Arial"/>
          <w:color w:val="0F1115"/>
          <w:kern w:val="0"/>
          <w:sz w:val="20"/>
          <w:szCs w:val="20"/>
          <w:lang w:eastAsia="en-GB"/>
          <w14:ligatures w14:val="none"/>
        </w:rPr>
        <w:noBreakHyphen/>
        <w:t>related pathways may be involved in the pathophysiology of epilepsy. Importantly, the discriminatory performance of serum DPPX, as assessed by ROC analysis, was modest but statistically significant (AUC=0.721), suggesting that DPPX could serve as an adjunct biomarker rather than a standalone diagnostic test. Furthermore, DPPX levels did not differ significantly between patients with shorter (≤10 years) and longer (&gt;10 years) disease duration, indicating that the observed reduction may be a relatively stable feature of epilepsy that does not simply reflect disease chronicity.</w:t>
      </w:r>
    </w:p>
    <w:p w14:paraId="597B3BB1" w14:textId="77777777" w:rsidR="00DC6E46" w:rsidRPr="006C191A" w:rsidRDefault="00DC6E46"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0ADFA8B" w14:textId="77777777" w:rsidR="006C191A" w:rsidRPr="00DC6E46"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DC6E46">
        <w:rPr>
          <w:rFonts w:ascii="Arial" w:eastAsia="Times New Roman" w:hAnsi="Arial" w:cs="Arial"/>
          <w:i/>
          <w:iCs/>
          <w:color w:val="0F1115"/>
          <w:kern w:val="0"/>
          <w:sz w:val="20"/>
          <w:szCs w:val="20"/>
          <w:lang w:eastAsia="en-GB"/>
          <w14:ligatures w14:val="none"/>
        </w:rPr>
        <w:t>Comparison with Previous Studies</w:t>
      </w:r>
    </w:p>
    <w:p w14:paraId="6D718846" w14:textId="6EF5315B"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 xml:space="preserve">Our findings align with experimental studies demonstrating that DPPX is a critical regulator of neuronal excitability. Kim et al. </w:t>
      </w:r>
      <w:r w:rsidR="00DF0251" w:rsidRPr="00DF0251">
        <w:rPr>
          <w:rFonts w:ascii="Arial" w:eastAsia="Times New Roman" w:hAnsi="Arial" w:cs="Arial"/>
          <w:color w:val="0000FF"/>
          <w:kern w:val="0"/>
          <w:sz w:val="20"/>
          <w:szCs w:val="20"/>
          <w:lang w:eastAsia="en-GB"/>
          <w14:ligatures w14:val="none"/>
        </w:rPr>
        <w:t>(</w:t>
      </w:r>
      <w:r w:rsidR="003E33E9">
        <w:rPr>
          <w:rFonts w:ascii="Arial" w:eastAsia="Times New Roman" w:hAnsi="Arial" w:cs="Arial"/>
          <w:color w:val="0000FF"/>
          <w:kern w:val="0"/>
          <w:sz w:val="20"/>
          <w:szCs w:val="20"/>
          <w:lang w:eastAsia="en-GB"/>
          <w14:ligatures w14:val="none"/>
        </w:rPr>
        <w:fldChar w:fldCharType="begin"/>
      </w:r>
      <w:r w:rsidR="003E33E9">
        <w:rPr>
          <w:rFonts w:ascii="Arial" w:eastAsia="Times New Roman" w:hAnsi="Arial" w:cs="Arial"/>
          <w:color w:val="0000FF"/>
          <w:kern w:val="0"/>
          <w:sz w:val="20"/>
          <w:szCs w:val="20"/>
          <w:lang w:eastAsia="en-GB"/>
          <w14:ligatures w14:val="none"/>
        </w:rPr>
        <w:instrText xml:space="preserve"> REF _Ref229995454 \r \h </w:instrText>
      </w:r>
      <w:r w:rsidR="003E33E9">
        <w:rPr>
          <w:rFonts w:ascii="Arial" w:eastAsia="Times New Roman" w:hAnsi="Arial" w:cs="Arial"/>
          <w:color w:val="0000FF"/>
          <w:kern w:val="0"/>
          <w:sz w:val="20"/>
          <w:szCs w:val="20"/>
          <w:lang w:eastAsia="en-GB"/>
          <w14:ligatures w14:val="none"/>
        </w:rPr>
      </w:r>
      <w:r w:rsidR="003E33E9">
        <w:rPr>
          <w:rFonts w:ascii="Arial" w:eastAsia="Times New Roman" w:hAnsi="Arial" w:cs="Arial"/>
          <w:color w:val="0000FF"/>
          <w:kern w:val="0"/>
          <w:sz w:val="20"/>
          <w:szCs w:val="20"/>
          <w:lang w:eastAsia="en-GB"/>
          <w14:ligatures w14:val="none"/>
        </w:rPr>
        <w:fldChar w:fldCharType="separate"/>
      </w:r>
      <w:r w:rsidR="003E33E9">
        <w:rPr>
          <w:rFonts w:ascii="Arial" w:eastAsia="Times New Roman" w:hAnsi="Arial" w:cs="Arial"/>
          <w:color w:val="0000FF"/>
          <w:kern w:val="0"/>
          <w:sz w:val="20"/>
          <w:szCs w:val="20"/>
          <w:lang w:eastAsia="en-GB"/>
          <w14:ligatures w14:val="none"/>
        </w:rPr>
        <w:t>13</w:t>
      </w:r>
      <w:r w:rsidR="003E33E9">
        <w:rPr>
          <w:rFonts w:ascii="Arial" w:eastAsia="Times New Roman" w:hAnsi="Arial" w:cs="Arial"/>
          <w:color w:val="0000FF"/>
          <w:kern w:val="0"/>
          <w:sz w:val="20"/>
          <w:szCs w:val="20"/>
          <w:lang w:eastAsia="en-GB"/>
          <w14:ligatures w14:val="none"/>
        </w:rPr>
        <w:fldChar w:fldCharType="end"/>
      </w:r>
      <w:r w:rsidR="00DF0251" w:rsidRPr="00DF0251">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showed that DPPX modulates Kv4.2 potassium channel function in hippocampal CA1 pyramidal neurons, and its loss leads to hyperexcitability. In autoimmune encephalitis, anti</w:t>
      </w:r>
      <w:r w:rsidRPr="006C191A">
        <w:rPr>
          <w:rFonts w:ascii="Arial" w:eastAsia="Times New Roman" w:hAnsi="Arial" w:cs="Arial"/>
          <w:color w:val="0F1115"/>
          <w:kern w:val="0"/>
          <w:sz w:val="20"/>
          <w:szCs w:val="20"/>
          <w:lang w:eastAsia="en-GB"/>
          <w14:ligatures w14:val="none"/>
        </w:rPr>
        <w:noBreakHyphen/>
        <w:t xml:space="preserve">DPPX antibodies have been shown to reduce the surface expression of DPPX and Kv4.2, thereby </w:t>
      </w:r>
      <w:r w:rsidRPr="006C191A">
        <w:rPr>
          <w:rFonts w:ascii="Arial" w:eastAsia="Times New Roman" w:hAnsi="Arial" w:cs="Arial"/>
          <w:color w:val="0F1115"/>
          <w:kern w:val="0"/>
          <w:sz w:val="20"/>
          <w:szCs w:val="20"/>
          <w:lang w:eastAsia="en-GB"/>
          <w14:ligatures w14:val="none"/>
        </w:rPr>
        <w:t xml:space="preserve">impairing inhibitory currents and promoting seizure activity </w:t>
      </w:r>
      <w:r w:rsidR="00DF0251" w:rsidRPr="00DF0251">
        <w:rPr>
          <w:rFonts w:ascii="Arial" w:eastAsia="Times New Roman" w:hAnsi="Arial" w:cs="Arial"/>
          <w:color w:val="0000FF"/>
          <w:kern w:val="0"/>
          <w:sz w:val="20"/>
          <w:szCs w:val="20"/>
          <w:lang w:eastAsia="en-GB"/>
          <w14:ligatures w14:val="none"/>
        </w:rPr>
        <w:t>(</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_Ref229996402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15</w:t>
      </w:r>
      <w:r w:rsidR="00B9677E">
        <w:rPr>
          <w:rFonts w:ascii="Arial" w:eastAsia="Times New Roman" w:hAnsi="Arial" w:cs="Arial"/>
          <w:color w:val="0000FF"/>
          <w:kern w:val="0"/>
          <w:sz w:val="20"/>
          <w:szCs w:val="20"/>
          <w:lang w:eastAsia="en-GB"/>
          <w14:ligatures w14:val="none"/>
        </w:rPr>
        <w:fldChar w:fldCharType="end"/>
      </w:r>
      <w:r w:rsidRPr="00DF0251">
        <w:rPr>
          <w:rFonts w:ascii="Arial" w:eastAsia="Times New Roman" w:hAnsi="Arial" w:cs="Arial"/>
          <w:color w:val="0000FF"/>
          <w:kern w:val="0"/>
          <w:sz w:val="20"/>
          <w:szCs w:val="20"/>
          <w:lang w:eastAsia="en-GB"/>
          <w14:ligatures w14:val="none"/>
        </w:rPr>
        <w:t>,</w:t>
      </w:r>
      <w:r w:rsidR="00DF0251" w:rsidRPr="00DF0251">
        <w:rPr>
          <w:rFonts w:ascii="Arial" w:eastAsia="Times New Roman" w:hAnsi="Arial" w:cs="Arial"/>
          <w:color w:val="0000FF"/>
          <w:kern w:val="0"/>
          <w:sz w:val="20"/>
          <w:szCs w:val="20"/>
          <w:lang w:eastAsia="en-GB"/>
          <w14:ligatures w14:val="none"/>
        </w:rPr>
        <w:t xml:space="preserve"> </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_Ref229996457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17</w:t>
      </w:r>
      <w:r w:rsidR="00B9677E">
        <w:rPr>
          <w:rFonts w:ascii="Arial" w:eastAsia="Times New Roman" w:hAnsi="Arial" w:cs="Arial"/>
          <w:color w:val="0000FF"/>
          <w:kern w:val="0"/>
          <w:sz w:val="20"/>
          <w:szCs w:val="20"/>
          <w:lang w:eastAsia="en-GB"/>
          <w14:ligatures w14:val="none"/>
        </w:rPr>
        <w:fldChar w:fldCharType="end"/>
      </w:r>
      <w:r w:rsidR="00DF0251" w:rsidRPr="00DF0251">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Piepgras et al. </w:t>
      </w:r>
      <w:r w:rsidR="00DF0251" w:rsidRPr="00DF0251">
        <w:rPr>
          <w:rFonts w:ascii="Arial" w:eastAsia="Times New Roman" w:hAnsi="Arial" w:cs="Arial"/>
          <w:color w:val="0000FF"/>
          <w:kern w:val="0"/>
          <w:sz w:val="20"/>
          <w:szCs w:val="20"/>
          <w:lang w:eastAsia="en-GB"/>
          <w14:ligatures w14:val="none"/>
        </w:rPr>
        <w:t>(</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_Ref229996469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18</w:t>
      </w:r>
      <w:r w:rsidR="00B9677E">
        <w:rPr>
          <w:rFonts w:ascii="Arial" w:eastAsia="Times New Roman" w:hAnsi="Arial" w:cs="Arial"/>
          <w:color w:val="0000FF"/>
          <w:kern w:val="0"/>
          <w:sz w:val="20"/>
          <w:szCs w:val="20"/>
          <w:lang w:eastAsia="en-GB"/>
          <w14:ligatures w14:val="none"/>
        </w:rPr>
        <w:fldChar w:fldCharType="end"/>
      </w:r>
      <w:r w:rsidR="00DF0251">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reported that patients with anti</w:t>
      </w:r>
      <w:r w:rsidRPr="006C191A">
        <w:rPr>
          <w:rFonts w:ascii="Arial" w:eastAsia="Times New Roman" w:hAnsi="Arial" w:cs="Arial"/>
          <w:color w:val="0F1115"/>
          <w:kern w:val="0"/>
          <w:sz w:val="20"/>
          <w:szCs w:val="20"/>
          <w:lang w:eastAsia="en-GB"/>
          <w14:ligatures w14:val="none"/>
        </w:rPr>
        <w:noBreakHyphen/>
        <w:t xml:space="preserve">DPPX encephalitis often present with prominent seizures, myoclonus, and cognitive decline, and they observed a reduction in DPPX expression in neuronal cultures exposed to patient sera. Hara et al. </w:t>
      </w:r>
      <w:r w:rsidR="00DF0251" w:rsidRPr="00DF0251">
        <w:rPr>
          <w:rFonts w:ascii="Arial" w:eastAsia="Times New Roman" w:hAnsi="Arial" w:cs="Arial"/>
          <w:color w:val="0000FF"/>
          <w:kern w:val="0"/>
          <w:sz w:val="20"/>
          <w:szCs w:val="20"/>
          <w:lang w:eastAsia="en-GB"/>
          <w14:ligatures w14:val="none"/>
        </w:rPr>
        <w:t>(</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_Ref229996482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19</w:t>
      </w:r>
      <w:r w:rsidR="00B9677E">
        <w:rPr>
          <w:rFonts w:ascii="Arial" w:eastAsia="Times New Roman" w:hAnsi="Arial" w:cs="Arial"/>
          <w:color w:val="0000FF"/>
          <w:kern w:val="0"/>
          <w:sz w:val="20"/>
          <w:szCs w:val="20"/>
          <w:lang w:eastAsia="en-GB"/>
          <w14:ligatures w14:val="none"/>
        </w:rPr>
        <w:fldChar w:fldCharType="end"/>
      </w:r>
      <w:r w:rsidR="00DF0251" w:rsidRPr="00DF0251">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xml:space="preserve"> similarly demonstrated that anti</w:t>
      </w:r>
      <w:r w:rsidRPr="006C191A">
        <w:rPr>
          <w:rFonts w:ascii="Arial" w:eastAsia="Times New Roman" w:hAnsi="Arial" w:cs="Arial"/>
          <w:color w:val="0F1115"/>
          <w:kern w:val="0"/>
          <w:sz w:val="20"/>
          <w:szCs w:val="20"/>
          <w:lang w:eastAsia="en-GB"/>
          <w14:ligatures w14:val="none"/>
        </w:rPr>
        <w:noBreakHyphen/>
        <w:t>DPPX antibodies cause a decrease in DPPX and Kv4.2 cluster density on hippocampal neurons.</w:t>
      </w:r>
    </w:p>
    <w:p w14:paraId="3785E735" w14:textId="0C806AA5"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The present study extends these observations by measuring the DPPX protein itself in serum, rather than autoantibodies. While most studies have focused on the humoral autoimmune response, our data suggest that reduced DPPX levels may also occur in epilepsy patients who do not necessarily have detectable anti</w:t>
      </w:r>
      <w:r w:rsidRPr="006C191A">
        <w:rPr>
          <w:rFonts w:ascii="Arial" w:eastAsia="Times New Roman" w:hAnsi="Arial" w:cs="Arial"/>
          <w:color w:val="0F1115"/>
          <w:kern w:val="0"/>
          <w:sz w:val="20"/>
          <w:szCs w:val="20"/>
          <w:lang w:eastAsia="en-GB"/>
          <w14:ligatures w14:val="none"/>
        </w:rPr>
        <w:noBreakHyphen/>
        <w:t>DPPX antibodies (antibody status was not assessed in this study). This raises the possibility that decreased DPPX expression could result from mechanisms other than autoantibody</w:t>
      </w:r>
      <w:r w:rsidRPr="006C191A">
        <w:rPr>
          <w:rFonts w:ascii="Arial" w:eastAsia="Times New Roman" w:hAnsi="Arial" w:cs="Arial"/>
          <w:color w:val="0F1115"/>
          <w:kern w:val="0"/>
          <w:sz w:val="20"/>
          <w:szCs w:val="20"/>
          <w:lang w:eastAsia="en-GB"/>
          <w14:ligatures w14:val="none"/>
        </w:rPr>
        <w:noBreakHyphen/>
        <w:t xml:space="preserve">mediated internalisation, such as genetic polymorphisms, epigenetic regulation, or inflammatory cytokine effects </w:t>
      </w:r>
      <w:r w:rsidR="00DF0251" w:rsidRPr="00DF0251">
        <w:rPr>
          <w:rFonts w:ascii="Arial" w:eastAsia="Times New Roman" w:hAnsi="Arial" w:cs="Arial"/>
          <w:color w:val="0000FF"/>
          <w:kern w:val="0"/>
          <w:sz w:val="20"/>
          <w:szCs w:val="20"/>
          <w:lang w:eastAsia="en-GB"/>
          <w14:ligatures w14:val="none"/>
        </w:rPr>
        <w:t>(</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_Ref229996489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20</w:t>
      </w:r>
      <w:r w:rsidR="00B9677E">
        <w:rPr>
          <w:rFonts w:ascii="Arial" w:eastAsia="Times New Roman" w:hAnsi="Arial" w:cs="Arial"/>
          <w:color w:val="0000FF"/>
          <w:kern w:val="0"/>
          <w:sz w:val="20"/>
          <w:szCs w:val="20"/>
          <w:lang w:eastAsia="en-GB"/>
          <w14:ligatures w14:val="none"/>
        </w:rPr>
        <w:fldChar w:fldCharType="end"/>
      </w:r>
      <w:r w:rsidR="00DF0251" w:rsidRPr="00DF0251">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Alternatively, low serum DPPX might be a consequence of chronic seizure activity or antiepileptic drug treatment. Future studies should simultaneously measure both DPPX protein and anti</w:t>
      </w:r>
      <w:r w:rsidRPr="006C191A">
        <w:rPr>
          <w:rFonts w:ascii="Arial" w:eastAsia="Times New Roman" w:hAnsi="Arial" w:cs="Arial"/>
          <w:color w:val="0F1115"/>
          <w:kern w:val="0"/>
          <w:sz w:val="20"/>
          <w:szCs w:val="20"/>
          <w:lang w:eastAsia="en-GB"/>
          <w14:ligatures w14:val="none"/>
        </w:rPr>
        <w:noBreakHyphen/>
        <w:t>DPPX antibodies to disentangle these possibilities.</w:t>
      </w:r>
    </w:p>
    <w:p w14:paraId="2703A6CF" w14:textId="4E5D948F"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The ROC</w:t>
      </w:r>
      <w:r w:rsidRPr="006C191A">
        <w:rPr>
          <w:rFonts w:ascii="Arial" w:eastAsia="Times New Roman" w:hAnsi="Arial" w:cs="Arial"/>
          <w:color w:val="0F1115"/>
          <w:kern w:val="0"/>
          <w:sz w:val="20"/>
          <w:szCs w:val="20"/>
          <w:lang w:eastAsia="en-GB"/>
          <w14:ligatures w14:val="none"/>
        </w:rPr>
        <w:noBreakHyphen/>
        <w:t>derived cut</w:t>
      </w:r>
      <w:r w:rsidRPr="006C191A">
        <w:rPr>
          <w:rFonts w:ascii="Arial" w:eastAsia="Times New Roman" w:hAnsi="Arial" w:cs="Arial"/>
          <w:color w:val="0F1115"/>
          <w:kern w:val="0"/>
          <w:sz w:val="20"/>
          <w:szCs w:val="20"/>
          <w:lang w:eastAsia="en-GB"/>
          <w14:ligatures w14:val="none"/>
        </w:rPr>
        <w:noBreakHyphen/>
        <w:t xml:space="preserve">off of &lt;46.69 ng/mL yielded a sensitivity of 70% and specificity of 74%. These values are comparable to those of other </w:t>
      </w:r>
      <w:r w:rsidRPr="006C191A">
        <w:rPr>
          <w:rFonts w:ascii="Arial" w:eastAsia="Times New Roman" w:hAnsi="Arial" w:cs="Arial"/>
          <w:color w:val="0F1115"/>
          <w:kern w:val="0"/>
          <w:sz w:val="20"/>
          <w:szCs w:val="20"/>
          <w:lang w:eastAsia="en-GB"/>
          <w14:ligatures w14:val="none"/>
        </w:rPr>
        <w:lastRenderedPageBreak/>
        <w:t>candidate epilepsy biomarkers, such as interleukin</w:t>
      </w:r>
      <w:r w:rsidRPr="006C191A">
        <w:rPr>
          <w:rFonts w:ascii="Arial" w:eastAsia="Times New Roman" w:hAnsi="Arial" w:cs="Arial"/>
          <w:color w:val="0F1115"/>
          <w:kern w:val="0"/>
          <w:sz w:val="20"/>
          <w:szCs w:val="20"/>
          <w:lang w:eastAsia="en-GB"/>
          <w14:ligatures w14:val="none"/>
        </w:rPr>
        <w:noBreakHyphen/>
        <w:t>6 (IL</w:t>
      </w:r>
      <w:r w:rsidRPr="006C191A">
        <w:rPr>
          <w:rFonts w:ascii="Arial" w:eastAsia="Times New Roman" w:hAnsi="Arial" w:cs="Arial"/>
          <w:color w:val="0F1115"/>
          <w:kern w:val="0"/>
          <w:sz w:val="20"/>
          <w:szCs w:val="20"/>
          <w:lang w:eastAsia="en-GB"/>
          <w14:ligatures w14:val="none"/>
        </w:rPr>
        <w:noBreakHyphen/>
        <w:t>6) or neuron</w:t>
      </w:r>
      <w:r w:rsidRPr="006C191A">
        <w:rPr>
          <w:rFonts w:ascii="Arial" w:eastAsia="Times New Roman" w:hAnsi="Arial" w:cs="Arial"/>
          <w:color w:val="0F1115"/>
          <w:kern w:val="0"/>
          <w:sz w:val="20"/>
          <w:szCs w:val="20"/>
          <w:lang w:eastAsia="en-GB"/>
          <w14:ligatures w14:val="none"/>
        </w:rPr>
        <w:noBreakHyphen/>
        <w:t xml:space="preserve">specific enolase (NSE), which typically show sensitivities and specificities in the range of 60–80% </w:t>
      </w:r>
      <w:r w:rsidR="00DF0251" w:rsidRPr="00DF0251">
        <w:rPr>
          <w:rFonts w:ascii="Arial" w:eastAsia="Times New Roman" w:hAnsi="Arial" w:cs="Arial"/>
          <w:color w:val="0000FF"/>
          <w:kern w:val="0"/>
          <w:sz w:val="20"/>
          <w:szCs w:val="20"/>
          <w:lang w:eastAsia="en-GB"/>
          <w14:ligatures w14:val="none"/>
        </w:rPr>
        <w:t>(</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_Ref229996498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21</w:t>
      </w:r>
      <w:r w:rsidR="00B9677E">
        <w:rPr>
          <w:rFonts w:ascii="Arial" w:eastAsia="Times New Roman" w:hAnsi="Arial" w:cs="Arial"/>
          <w:color w:val="0000FF"/>
          <w:kern w:val="0"/>
          <w:sz w:val="20"/>
          <w:szCs w:val="20"/>
          <w:lang w:eastAsia="en-GB"/>
          <w14:ligatures w14:val="none"/>
        </w:rPr>
        <w:fldChar w:fldCharType="end"/>
      </w:r>
      <w:r w:rsidRPr="00DF0251">
        <w:rPr>
          <w:rFonts w:ascii="Arial" w:eastAsia="Times New Roman" w:hAnsi="Arial" w:cs="Arial"/>
          <w:color w:val="0000FF"/>
          <w:kern w:val="0"/>
          <w:sz w:val="20"/>
          <w:szCs w:val="20"/>
          <w:lang w:eastAsia="en-GB"/>
          <w14:ligatures w14:val="none"/>
        </w:rPr>
        <w:t>,</w:t>
      </w:r>
      <w:r w:rsidR="00DF0251" w:rsidRPr="00DF0251">
        <w:rPr>
          <w:rFonts w:ascii="Arial" w:eastAsia="Times New Roman" w:hAnsi="Arial" w:cs="Arial"/>
          <w:color w:val="0000FF"/>
          <w:kern w:val="0"/>
          <w:sz w:val="20"/>
          <w:szCs w:val="20"/>
          <w:lang w:eastAsia="en-GB"/>
          <w14:ligatures w14:val="none"/>
        </w:rPr>
        <w:t xml:space="preserve"> </w:t>
      </w:r>
      <w:r w:rsidR="00B9677E">
        <w:rPr>
          <w:rFonts w:ascii="Arial" w:eastAsia="Times New Roman" w:hAnsi="Arial" w:cs="Arial"/>
          <w:color w:val="0000FF"/>
          <w:kern w:val="0"/>
          <w:sz w:val="20"/>
          <w:szCs w:val="20"/>
          <w:lang w:eastAsia="en-GB"/>
          <w14:ligatures w14:val="none"/>
        </w:rPr>
        <w:fldChar w:fldCharType="begin"/>
      </w:r>
      <w:r w:rsidR="00B9677E">
        <w:rPr>
          <w:rFonts w:ascii="Arial" w:eastAsia="Times New Roman" w:hAnsi="Arial" w:cs="Arial"/>
          <w:color w:val="0000FF"/>
          <w:kern w:val="0"/>
          <w:sz w:val="20"/>
          <w:szCs w:val="20"/>
          <w:lang w:eastAsia="en-GB"/>
          <w14:ligatures w14:val="none"/>
        </w:rPr>
        <w:instrText xml:space="preserve"> REF _Ref229996503 \r \h </w:instrText>
      </w:r>
      <w:r w:rsidR="00B9677E">
        <w:rPr>
          <w:rFonts w:ascii="Arial" w:eastAsia="Times New Roman" w:hAnsi="Arial" w:cs="Arial"/>
          <w:color w:val="0000FF"/>
          <w:kern w:val="0"/>
          <w:sz w:val="20"/>
          <w:szCs w:val="20"/>
          <w:lang w:eastAsia="en-GB"/>
          <w14:ligatures w14:val="none"/>
        </w:rPr>
      </w:r>
      <w:r w:rsidR="00B9677E">
        <w:rPr>
          <w:rFonts w:ascii="Arial" w:eastAsia="Times New Roman" w:hAnsi="Arial" w:cs="Arial"/>
          <w:color w:val="0000FF"/>
          <w:kern w:val="0"/>
          <w:sz w:val="20"/>
          <w:szCs w:val="20"/>
          <w:lang w:eastAsia="en-GB"/>
          <w14:ligatures w14:val="none"/>
        </w:rPr>
        <w:fldChar w:fldCharType="separate"/>
      </w:r>
      <w:r w:rsidR="00B9677E">
        <w:rPr>
          <w:rFonts w:ascii="Arial" w:eastAsia="Times New Roman" w:hAnsi="Arial" w:cs="Arial"/>
          <w:color w:val="0000FF"/>
          <w:kern w:val="0"/>
          <w:sz w:val="20"/>
          <w:szCs w:val="20"/>
          <w:lang w:eastAsia="en-GB"/>
          <w14:ligatures w14:val="none"/>
        </w:rPr>
        <w:t>22</w:t>
      </w:r>
      <w:r w:rsidR="00B9677E">
        <w:rPr>
          <w:rFonts w:ascii="Arial" w:eastAsia="Times New Roman" w:hAnsi="Arial" w:cs="Arial"/>
          <w:color w:val="0000FF"/>
          <w:kern w:val="0"/>
          <w:sz w:val="20"/>
          <w:szCs w:val="20"/>
          <w:lang w:eastAsia="en-GB"/>
          <w14:ligatures w14:val="none"/>
        </w:rPr>
        <w:fldChar w:fldCharType="end"/>
      </w:r>
      <w:r w:rsidR="00DF0251" w:rsidRPr="00DF0251">
        <w:rPr>
          <w:rFonts w:ascii="Arial" w:eastAsia="Times New Roman" w:hAnsi="Arial" w:cs="Arial"/>
          <w:color w:val="0000FF"/>
          <w:kern w:val="0"/>
          <w:sz w:val="20"/>
          <w:szCs w:val="20"/>
          <w:lang w:eastAsia="en-GB"/>
          <w14:ligatures w14:val="none"/>
        </w:rPr>
        <w:t>)</w:t>
      </w:r>
      <w:r w:rsidRPr="006C191A">
        <w:rPr>
          <w:rFonts w:ascii="Arial" w:eastAsia="Times New Roman" w:hAnsi="Arial" w:cs="Arial"/>
          <w:color w:val="0F1115"/>
          <w:kern w:val="0"/>
          <w:sz w:val="20"/>
          <w:szCs w:val="20"/>
          <w:lang w:eastAsia="en-GB"/>
          <w14:ligatures w14:val="none"/>
        </w:rPr>
        <w:t>. An AUC of 0.721 is generally considered “acceptable” but not “excellent” for clinical biomarker applications. Therefore, DPPX should be viewed as a potential component of a multi</w:t>
      </w:r>
      <w:r w:rsidRPr="006C191A">
        <w:rPr>
          <w:rFonts w:ascii="Arial" w:eastAsia="Times New Roman" w:hAnsi="Arial" w:cs="Arial"/>
          <w:color w:val="0F1115"/>
          <w:kern w:val="0"/>
          <w:sz w:val="20"/>
          <w:szCs w:val="20"/>
          <w:lang w:eastAsia="en-GB"/>
          <w14:ligatures w14:val="none"/>
        </w:rPr>
        <w:noBreakHyphen/>
        <w:t>marker panel rather than a standalone diagnostic test. Its high negative predictive value (71.2%) might be useful for ruling out epilepsy in certain clinical contexts, but confirmatory studies in independent cohorts are needed.</w:t>
      </w:r>
    </w:p>
    <w:p w14:paraId="522322C6"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The lack of association between DPPX levels and disease duration suggests that the reduction in DPPX is not progressive and may be established early in the disease course. This finding is reassuring from a biomarker perspective because it indicates that a single measurement might provide stable information regardless of when it is taken. However, the cross</w:t>
      </w:r>
      <w:r w:rsidRPr="006C191A">
        <w:rPr>
          <w:rFonts w:ascii="Arial" w:eastAsia="Times New Roman" w:hAnsi="Arial" w:cs="Arial"/>
          <w:color w:val="0F1115"/>
          <w:kern w:val="0"/>
          <w:sz w:val="20"/>
          <w:szCs w:val="20"/>
          <w:lang w:eastAsia="en-GB"/>
          <w14:ligatures w14:val="none"/>
        </w:rPr>
        <w:noBreakHyphen/>
        <w:t>sectional design limits our ability to draw causal inferences; longitudinal studies are required to determine whether DPPX levels change over time or with treatment.</w:t>
      </w:r>
    </w:p>
    <w:p w14:paraId="6DA3ECA6" w14:textId="77777777" w:rsidR="00402105" w:rsidRPr="006C191A" w:rsidRDefault="00402105"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8F9DC06" w14:textId="77777777" w:rsidR="006C191A" w:rsidRPr="00402105"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02105">
        <w:rPr>
          <w:rFonts w:ascii="Arial" w:eastAsia="Times New Roman" w:hAnsi="Arial" w:cs="Arial"/>
          <w:i/>
          <w:iCs/>
          <w:color w:val="0F1115"/>
          <w:kern w:val="0"/>
          <w:sz w:val="20"/>
          <w:szCs w:val="20"/>
          <w:lang w:eastAsia="en-GB"/>
          <w14:ligatures w14:val="none"/>
        </w:rPr>
        <w:t>Study Limitations and Future Directions</w:t>
      </w:r>
    </w:p>
    <w:p w14:paraId="147AA0B5"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Several limitations warrant consideration. First, the sample size (n=50 per group) was modest, and no a priori power calculation was performed. Although the observed difference in DPPX levels was highly significant, the width of the confidence intervals for sensitivity and specificity (not reported but derivable) may be relatively wide. Larger multi</w:t>
      </w:r>
      <w:r w:rsidRPr="006C191A">
        <w:rPr>
          <w:rFonts w:ascii="Arial" w:eastAsia="Times New Roman" w:hAnsi="Arial" w:cs="Arial"/>
          <w:color w:val="0F1115"/>
          <w:kern w:val="0"/>
          <w:sz w:val="20"/>
          <w:szCs w:val="20"/>
          <w:lang w:eastAsia="en-GB"/>
          <w14:ligatures w14:val="none"/>
        </w:rPr>
        <w:noBreakHyphen/>
        <w:t>centre studies are needed to confirm the optimal cut</w:t>
      </w:r>
      <w:r w:rsidRPr="006C191A">
        <w:rPr>
          <w:rFonts w:ascii="Arial" w:eastAsia="Times New Roman" w:hAnsi="Arial" w:cs="Arial"/>
          <w:color w:val="0F1115"/>
          <w:kern w:val="0"/>
          <w:sz w:val="20"/>
          <w:szCs w:val="20"/>
          <w:lang w:eastAsia="en-GB"/>
          <w14:ligatures w14:val="none"/>
        </w:rPr>
        <w:noBreakHyphen/>
        <w:t>off and to assess performance across different epilepsy subtypes (e.g., focal vs. generalised, genetic vs. structural vs. unknown aetiology). Second, we did not measure anti</w:t>
      </w:r>
      <w:r w:rsidRPr="006C191A">
        <w:rPr>
          <w:rFonts w:ascii="Arial" w:eastAsia="Times New Roman" w:hAnsi="Arial" w:cs="Arial"/>
          <w:color w:val="0F1115"/>
          <w:kern w:val="0"/>
          <w:sz w:val="20"/>
          <w:szCs w:val="20"/>
          <w:lang w:eastAsia="en-GB"/>
          <w14:ligatures w14:val="none"/>
        </w:rPr>
        <w:noBreakHyphen/>
        <w:t>DPPX antibodies, which limits our ability to distinguish between low DPPX due to autoantibody</w:t>
      </w:r>
      <w:r w:rsidRPr="006C191A">
        <w:rPr>
          <w:rFonts w:ascii="Arial" w:eastAsia="Times New Roman" w:hAnsi="Arial" w:cs="Arial"/>
          <w:color w:val="0F1115"/>
          <w:kern w:val="0"/>
          <w:sz w:val="20"/>
          <w:szCs w:val="20"/>
          <w:lang w:eastAsia="en-GB"/>
          <w14:ligatures w14:val="none"/>
        </w:rPr>
        <w:noBreakHyphen/>
        <w:t>mediated consumption versus other causes. Third, we did not collect data on antiepileptic drug regimens, seizure frequency, or time since last seizure, all of which could influence serum DPPX levels. Fourth, the control group was recruited from hospital attendees and volunteers, which may introduce selection bias; community</w:t>
      </w:r>
      <w:r w:rsidRPr="006C191A">
        <w:rPr>
          <w:rFonts w:ascii="Arial" w:eastAsia="Times New Roman" w:hAnsi="Arial" w:cs="Arial"/>
          <w:color w:val="0F1115"/>
          <w:kern w:val="0"/>
          <w:sz w:val="20"/>
          <w:szCs w:val="20"/>
          <w:lang w:eastAsia="en-GB"/>
          <w14:ligatures w14:val="none"/>
        </w:rPr>
        <w:noBreakHyphen/>
        <w:t>based controls would be preferable. Fifth, the study was conducted at a single centre in Iraq, and the findings may not be generalisable to other populations with different genetic backgrounds or environmental exposures.</w:t>
      </w:r>
    </w:p>
    <w:p w14:paraId="3F740104"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Future research should address these limitations by: (1) conducting prospective cohort studies with serial measurements of DPPX and anti</w:t>
      </w:r>
      <w:r w:rsidRPr="006C191A">
        <w:rPr>
          <w:rFonts w:ascii="Arial" w:eastAsia="Times New Roman" w:hAnsi="Arial" w:cs="Arial"/>
          <w:color w:val="0F1115"/>
          <w:kern w:val="0"/>
          <w:sz w:val="20"/>
          <w:szCs w:val="20"/>
          <w:lang w:eastAsia="en-GB"/>
          <w14:ligatures w14:val="none"/>
        </w:rPr>
        <w:noBreakHyphen/>
        <w:t xml:space="preserve">DPPX antibodies before and after treatment; (2) stratifying patients by epilepsy syndrome, aetiology, and drug response; (3) exploring the relationship between serum DPPX and </w:t>
      </w:r>
      <w:r w:rsidRPr="006C191A">
        <w:rPr>
          <w:rFonts w:ascii="Arial" w:eastAsia="Times New Roman" w:hAnsi="Arial" w:cs="Arial"/>
          <w:color w:val="0F1115"/>
          <w:kern w:val="0"/>
          <w:sz w:val="20"/>
          <w:szCs w:val="20"/>
          <w:lang w:eastAsia="en-GB"/>
          <w14:ligatures w14:val="none"/>
        </w:rPr>
        <w:t>cerebrospinal fluid DPPX levels; (4) investigating whether DPPX levels correlate with seizure control, quality of life, or cognitive outcomes; and (5) validating the ROC</w:t>
      </w:r>
      <w:r w:rsidRPr="006C191A">
        <w:rPr>
          <w:rFonts w:ascii="Arial" w:eastAsia="Times New Roman" w:hAnsi="Arial" w:cs="Arial"/>
          <w:color w:val="0F1115"/>
          <w:kern w:val="0"/>
          <w:sz w:val="20"/>
          <w:szCs w:val="20"/>
          <w:lang w:eastAsia="en-GB"/>
          <w14:ligatures w14:val="none"/>
        </w:rPr>
        <w:noBreakHyphen/>
        <w:t>derived cut</w:t>
      </w:r>
      <w:r w:rsidRPr="006C191A">
        <w:rPr>
          <w:rFonts w:ascii="Arial" w:eastAsia="Times New Roman" w:hAnsi="Arial" w:cs="Arial"/>
          <w:color w:val="0F1115"/>
          <w:kern w:val="0"/>
          <w:sz w:val="20"/>
          <w:szCs w:val="20"/>
          <w:lang w:eastAsia="en-GB"/>
          <w14:ligatures w14:val="none"/>
        </w:rPr>
        <w:noBreakHyphen/>
        <w:t>off in an independent external cohort.</w:t>
      </w:r>
    </w:p>
    <w:p w14:paraId="6057D84F" w14:textId="44BA8AD3" w:rsidR="006C191A" w:rsidRPr="006C191A" w:rsidRDefault="006C191A" w:rsidP="006C191A">
      <w:pPr>
        <w:spacing w:after="0" w:line="240" w:lineRule="auto"/>
        <w:jc w:val="both"/>
        <w:rPr>
          <w:rFonts w:ascii="Arial" w:eastAsia="Times New Roman" w:hAnsi="Arial" w:cs="Arial"/>
          <w:kern w:val="0"/>
          <w:sz w:val="20"/>
          <w:szCs w:val="20"/>
          <w:lang w:eastAsia="en-GB"/>
          <w14:ligatures w14:val="none"/>
        </w:rPr>
      </w:pPr>
    </w:p>
    <w:p w14:paraId="25123115"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Conclusion</w:t>
      </w:r>
    </w:p>
    <w:p w14:paraId="45F1B910" w14:textId="77777777"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This study demonstrates that serum DPPX levels are significantly lower in patients with epilepsy than in healthy controls, with a modest but statistically significant ability to discriminate between the two groups. The reduction appears stable across disease duration, suggesting that DPPX may be a useful adjunct biomarker for epilepsy. However, given the modest AUC and the lack of data on anti</w:t>
      </w:r>
      <w:r w:rsidRPr="006C191A">
        <w:rPr>
          <w:rFonts w:ascii="Arial" w:eastAsia="Times New Roman" w:hAnsi="Arial" w:cs="Arial"/>
          <w:color w:val="0F1115"/>
          <w:kern w:val="0"/>
          <w:sz w:val="20"/>
          <w:szCs w:val="20"/>
          <w:lang w:eastAsia="en-GB"/>
          <w14:ligatures w14:val="none"/>
        </w:rPr>
        <w:noBreakHyphen/>
        <w:t>DPPX antibodies and clinical subtypes, DPPX cannot yet be recommended for routine clinical use. Larger, well</w:t>
      </w:r>
      <w:r w:rsidRPr="006C191A">
        <w:rPr>
          <w:rFonts w:ascii="Arial" w:eastAsia="Times New Roman" w:hAnsi="Arial" w:cs="Arial"/>
          <w:color w:val="0F1115"/>
          <w:kern w:val="0"/>
          <w:sz w:val="20"/>
          <w:szCs w:val="20"/>
          <w:lang w:eastAsia="en-GB"/>
          <w14:ligatures w14:val="none"/>
        </w:rPr>
        <w:noBreakHyphen/>
        <w:t>characterised, longitudinal studies are warranted to validate these findings and to elucidate the underlying mechanisms linking DPPX dysregulation to epileptogenesis.</w:t>
      </w:r>
    </w:p>
    <w:p w14:paraId="65556AC2" w14:textId="436C977F" w:rsidR="006C191A" w:rsidRPr="006C191A" w:rsidRDefault="006C191A" w:rsidP="006C191A">
      <w:pPr>
        <w:spacing w:after="0" w:line="240" w:lineRule="auto"/>
        <w:jc w:val="both"/>
        <w:rPr>
          <w:rFonts w:ascii="Arial" w:eastAsia="Times New Roman" w:hAnsi="Arial" w:cs="Arial"/>
          <w:kern w:val="0"/>
          <w:sz w:val="20"/>
          <w:szCs w:val="20"/>
          <w:lang w:eastAsia="en-GB"/>
          <w14:ligatures w14:val="none"/>
        </w:rPr>
      </w:pPr>
    </w:p>
    <w:p w14:paraId="18ED8D6A"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List of Abbreviations</w:t>
      </w:r>
    </w:p>
    <w:p w14:paraId="1CD56F0B" w14:textId="674C73A0"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AUC</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Area under the curve</w:t>
      </w:r>
    </w:p>
    <w:p w14:paraId="4311CD11" w14:textId="4C4F93AC"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CI</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Confidence interval</w:t>
      </w:r>
    </w:p>
    <w:p w14:paraId="1CF4D760" w14:textId="74D607D3"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DPPX</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 xml:space="preserve">Dipeptidyl </w:t>
      </w:r>
      <w:r w:rsidR="000E038F">
        <w:rPr>
          <w:rFonts w:ascii="Arial" w:eastAsia="Times New Roman" w:hAnsi="Arial" w:cs="Arial"/>
          <w:kern w:val="0"/>
          <w:sz w:val="20"/>
          <w:szCs w:val="20"/>
          <w:lang w:eastAsia="en-GB"/>
          <w14:ligatures w14:val="none"/>
        </w:rPr>
        <w:t>peptidase-like</w:t>
      </w:r>
      <w:r w:rsidRPr="00402105">
        <w:rPr>
          <w:rFonts w:ascii="Arial" w:eastAsia="Times New Roman" w:hAnsi="Arial" w:cs="Arial"/>
          <w:kern w:val="0"/>
          <w:sz w:val="20"/>
          <w:szCs w:val="20"/>
          <w:lang w:eastAsia="en-GB"/>
          <w14:ligatures w14:val="none"/>
        </w:rPr>
        <w:t xml:space="preserve"> protein 6 (also </w:t>
      </w:r>
      <w:r w:rsidR="000E12F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DPP6)</w:t>
      </w:r>
    </w:p>
    <w:p w14:paraId="77F73B50" w14:textId="6C47FAA7"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ELISA</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t>Enzyme-linked</w:t>
      </w:r>
      <w:r w:rsidRPr="00402105">
        <w:rPr>
          <w:rFonts w:ascii="Arial" w:eastAsia="Times New Roman" w:hAnsi="Arial" w:cs="Arial"/>
          <w:kern w:val="0"/>
          <w:sz w:val="20"/>
          <w:szCs w:val="20"/>
          <w:lang w:eastAsia="en-GB"/>
          <w14:ligatures w14:val="none"/>
        </w:rPr>
        <w:t xml:space="preserve"> immunosorbent assay</w:t>
      </w:r>
    </w:p>
    <w:p w14:paraId="62AB6A2A" w14:textId="4845D3CC"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ILAE</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International League Against Epilepsy</w:t>
      </w:r>
    </w:p>
    <w:p w14:paraId="6514C212" w14:textId="242AE92F"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IL 6</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Interleukin 6</w:t>
      </w:r>
    </w:p>
    <w:p w14:paraId="68660D32" w14:textId="51F717E9"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Kv4.2</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t>Voltage-gated</w:t>
      </w:r>
      <w:r w:rsidRPr="00402105">
        <w:rPr>
          <w:rFonts w:ascii="Arial" w:eastAsia="Times New Roman" w:hAnsi="Arial" w:cs="Arial"/>
          <w:kern w:val="0"/>
          <w:sz w:val="20"/>
          <w:szCs w:val="20"/>
          <w:lang w:eastAsia="en-GB"/>
          <w14:ligatures w14:val="none"/>
        </w:rPr>
        <w:t xml:space="preserve"> potassium channel </w:t>
      </w:r>
      <w:r w:rsidR="000E12F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subunit 4.2</w:t>
      </w:r>
    </w:p>
    <w:p w14:paraId="2E151D25" w14:textId="51446B4F"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NPV</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Negative predictive value</w:t>
      </w:r>
    </w:p>
    <w:p w14:paraId="7B0BD015" w14:textId="43BCB522"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NSE</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t>Neuron-specific</w:t>
      </w:r>
      <w:r w:rsidRPr="00402105">
        <w:rPr>
          <w:rFonts w:ascii="Arial" w:eastAsia="Times New Roman" w:hAnsi="Arial" w:cs="Arial"/>
          <w:kern w:val="0"/>
          <w:sz w:val="20"/>
          <w:szCs w:val="20"/>
          <w:lang w:eastAsia="en-GB"/>
          <w14:ligatures w14:val="none"/>
        </w:rPr>
        <w:t xml:space="preserve"> enolase</w:t>
      </w:r>
    </w:p>
    <w:p w14:paraId="0F3AA5F3" w14:textId="25DD35A6"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PPV</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Positive predictive value</w:t>
      </w:r>
    </w:p>
    <w:p w14:paraId="57FD198B" w14:textId="23167B73"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ROC</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Receiver operating characteristic</w:t>
      </w:r>
    </w:p>
    <w:p w14:paraId="23C9C12A" w14:textId="52A6611C"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SD</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Standard deviation</w:t>
      </w:r>
    </w:p>
    <w:p w14:paraId="0E042FAB" w14:textId="1298FA81" w:rsidR="00402105" w:rsidRPr="00402105"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SE</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Standard error</w:t>
      </w:r>
    </w:p>
    <w:p w14:paraId="5E27D36E" w14:textId="0F5D173F" w:rsidR="006C191A" w:rsidRDefault="00402105" w:rsidP="00402105">
      <w:pPr>
        <w:spacing w:after="0" w:line="240" w:lineRule="auto"/>
        <w:jc w:val="both"/>
        <w:rPr>
          <w:rFonts w:ascii="Arial" w:eastAsia="Times New Roman" w:hAnsi="Arial" w:cs="Arial"/>
          <w:kern w:val="0"/>
          <w:sz w:val="20"/>
          <w:szCs w:val="20"/>
          <w:lang w:eastAsia="en-GB"/>
          <w14:ligatures w14:val="none"/>
        </w:rPr>
      </w:pPr>
      <w:r w:rsidRPr="00402105">
        <w:rPr>
          <w:rFonts w:ascii="Arial" w:eastAsia="Times New Roman" w:hAnsi="Arial" w:cs="Arial"/>
          <w:kern w:val="0"/>
          <w:sz w:val="20"/>
          <w:szCs w:val="20"/>
          <w:lang w:eastAsia="en-GB"/>
          <w14:ligatures w14:val="none"/>
        </w:rPr>
        <w:t>SPSS</w:t>
      </w:r>
      <w:r>
        <w:rPr>
          <w:rFonts w:ascii="Arial" w:eastAsia="Times New Roman" w:hAnsi="Arial" w:cs="Arial"/>
          <w:kern w:val="0"/>
          <w:sz w:val="20"/>
          <w:szCs w:val="20"/>
          <w:lang w:eastAsia="en-GB"/>
          <w14:ligatures w14:val="none"/>
        </w:rPr>
        <w:t>:</w:t>
      </w:r>
      <w:r w:rsidR="000E038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 xml:space="preserve">Statistical Package for the Social </w:t>
      </w:r>
      <w:r w:rsidR="000E12FF">
        <w:rPr>
          <w:rFonts w:ascii="Arial" w:eastAsia="Times New Roman" w:hAnsi="Arial" w:cs="Arial"/>
          <w:kern w:val="0"/>
          <w:sz w:val="20"/>
          <w:szCs w:val="20"/>
          <w:lang w:eastAsia="en-GB"/>
          <w14:ligatures w14:val="none"/>
        </w:rPr>
        <w:tab/>
      </w:r>
      <w:r w:rsidRPr="00402105">
        <w:rPr>
          <w:rFonts w:ascii="Arial" w:eastAsia="Times New Roman" w:hAnsi="Arial" w:cs="Arial"/>
          <w:kern w:val="0"/>
          <w:sz w:val="20"/>
          <w:szCs w:val="20"/>
          <w:lang w:eastAsia="en-GB"/>
          <w14:ligatures w14:val="none"/>
        </w:rPr>
        <w:t>Sciences</w:t>
      </w:r>
    </w:p>
    <w:p w14:paraId="1B603FF8" w14:textId="77777777" w:rsidR="00402105" w:rsidRPr="006C191A" w:rsidRDefault="00402105" w:rsidP="006C191A">
      <w:pPr>
        <w:spacing w:after="0" w:line="240" w:lineRule="auto"/>
        <w:jc w:val="both"/>
        <w:rPr>
          <w:rFonts w:ascii="Arial" w:eastAsia="Times New Roman" w:hAnsi="Arial" w:cs="Arial"/>
          <w:kern w:val="0"/>
          <w:sz w:val="20"/>
          <w:szCs w:val="20"/>
          <w:lang w:eastAsia="en-GB"/>
          <w14:ligatures w14:val="none"/>
        </w:rPr>
      </w:pPr>
    </w:p>
    <w:p w14:paraId="38E71E38" w14:textId="77777777"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Declarations</w:t>
      </w:r>
    </w:p>
    <w:p w14:paraId="157F1C78" w14:textId="7A1C95E7" w:rsidR="006C191A" w:rsidRPr="003229F9"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229F9">
        <w:rPr>
          <w:rFonts w:ascii="Arial" w:eastAsia="Times New Roman" w:hAnsi="Arial" w:cs="Arial"/>
          <w:i/>
          <w:iCs/>
          <w:color w:val="0F1115"/>
          <w:kern w:val="0"/>
          <w:sz w:val="20"/>
          <w:szCs w:val="20"/>
          <w:lang w:eastAsia="en-GB"/>
          <w14:ligatures w14:val="none"/>
        </w:rPr>
        <w:t>Ethics Approval and Consent to Participate</w:t>
      </w:r>
    </w:p>
    <w:p w14:paraId="4873DE11" w14:textId="633297BD"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 xml:space="preserve">This study was approved by the Medicine’s Ethical Committee at the College of Health and Medical Technologies, Kufa (approval number: CHMT/EC/2025/112). Written informed consent was obtained from all individual participants included in the study. Permission to conduct the study was also obtained from the Neurology </w:t>
      </w:r>
      <w:r w:rsidR="000E038F">
        <w:rPr>
          <w:rFonts w:ascii="Arial" w:eastAsia="Times New Roman" w:hAnsi="Arial" w:cs="Arial"/>
          <w:color w:val="0F1115"/>
          <w:kern w:val="0"/>
          <w:sz w:val="20"/>
          <w:szCs w:val="20"/>
          <w:lang w:eastAsia="en-GB"/>
          <w14:ligatures w14:val="none"/>
        </w:rPr>
        <w:t>Centre</w:t>
      </w:r>
      <w:r w:rsidRPr="006C191A">
        <w:rPr>
          <w:rFonts w:ascii="Arial" w:eastAsia="Times New Roman" w:hAnsi="Arial" w:cs="Arial"/>
          <w:color w:val="0F1115"/>
          <w:kern w:val="0"/>
          <w:sz w:val="20"/>
          <w:szCs w:val="20"/>
          <w:lang w:eastAsia="en-GB"/>
          <w14:ligatures w14:val="none"/>
        </w:rPr>
        <w:t xml:space="preserve"> of Al</w:t>
      </w:r>
      <w:r w:rsidRPr="006C191A">
        <w:rPr>
          <w:rFonts w:ascii="Arial" w:eastAsia="Times New Roman" w:hAnsi="Arial" w:cs="Arial"/>
          <w:color w:val="0F1115"/>
          <w:kern w:val="0"/>
          <w:sz w:val="20"/>
          <w:szCs w:val="20"/>
          <w:lang w:eastAsia="en-GB"/>
          <w14:ligatures w14:val="none"/>
        </w:rPr>
        <w:noBreakHyphen/>
        <w:t>Diwaniyah Teaching Hospital.</w:t>
      </w:r>
    </w:p>
    <w:p w14:paraId="2FA61838" w14:textId="77777777" w:rsidR="003229F9" w:rsidRPr="006C191A" w:rsidRDefault="003229F9"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01B0E0A" w14:textId="04496B71" w:rsidR="006C191A" w:rsidRPr="003229F9"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229F9">
        <w:rPr>
          <w:rFonts w:ascii="Arial" w:eastAsia="Times New Roman" w:hAnsi="Arial" w:cs="Arial"/>
          <w:i/>
          <w:iCs/>
          <w:color w:val="0F1115"/>
          <w:kern w:val="0"/>
          <w:sz w:val="20"/>
          <w:szCs w:val="20"/>
          <w:lang w:eastAsia="en-GB"/>
          <w14:ligatures w14:val="none"/>
        </w:rPr>
        <w:t>Consent for Publication</w:t>
      </w:r>
    </w:p>
    <w:p w14:paraId="48F663A2" w14:textId="5A8022E9"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All authors gave consent for the publication of this work under the Creative Commons Attribution Non</w:t>
      </w:r>
      <w:r w:rsidRPr="006C191A">
        <w:rPr>
          <w:rFonts w:ascii="Arial" w:eastAsia="Times New Roman" w:hAnsi="Arial" w:cs="Arial"/>
          <w:color w:val="0F1115"/>
          <w:kern w:val="0"/>
          <w:sz w:val="20"/>
          <w:szCs w:val="20"/>
          <w:lang w:eastAsia="en-GB"/>
          <w14:ligatures w14:val="none"/>
        </w:rPr>
        <w:noBreakHyphen/>
        <w:t>Commercial 4.0 license. No person’s data are presented in this manuscript.</w:t>
      </w:r>
    </w:p>
    <w:p w14:paraId="3F4A8419" w14:textId="77777777" w:rsidR="003229F9" w:rsidRDefault="003229F9"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BAB2120" w14:textId="77777777" w:rsidR="00EB58A5" w:rsidRPr="006C191A" w:rsidRDefault="00EB58A5"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F591B10" w14:textId="40AABFA3" w:rsidR="006C191A" w:rsidRPr="003229F9"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229F9">
        <w:rPr>
          <w:rFonts w:ascii="Arial" w:eastAsia="Times New Roman" w:hAnsi="Arial" w:cs="Arial"/>
          <w:i/>
          <w:iCs/>
          <w:color w:val="0F1115"/>
          <w:kern w:val="0"/>
          <w:sz w:val="20"/>
          <w:szCs w:val="20"/>
          <w:lang w:eastAsia="en-GB"/>
          <w14:ligatures w14:val="none"/>
        </w:rPr>
        <w:lastRenderedPageBreak/>
        <w:t>Data Availability</w:t>
      </w:r>
    </w:p>
    <w:p w14:paraId="08700D28"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The datasets generated and analysed during the current study are available from the corresponding author on reasonable request, subject to institutional data sharing policies and patient confidentiality agreements.</w:t>
      </w:r>
    </w:p>
    <w:p w14:paraId="576A3EEB" w14:textId="77777777" w:rsidR="003229F9" w:rsidRPr="006C191A" w:rsidRDefault="003229F9"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DB570ED" w14:textId="49F13480" w:rsidR="006C191A" w:rsidRPr="003229F9"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229F9">
        <w:rPr>
          <w:rFonts w:ascii="Arial" w:eastAsia="Times New Roman" w:hAnsi="Arial" w:cs="Arial"/>
          <w:i/>
          <w:iCs/>
          <w:color w:val="0F1115"/>
          <w:kern w:val="0"/>
          <w:sz w:val="20"/>
          <w:szCs w:val="20"/>
          <w:lang w:eastAsia="en-GB"/>
          <w14:ligatures w14:val="none"/>
        </w:rPr>
        <w:t>Competing Interests</w:t>
      </w:r>
    </w:p>
    <w:p w14:paraId="44BA132F"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The authors declare that they have no competing interests, financial or otherwise, that could have influenced the work reported in this manuscript.</w:t>
      </w:r>
    </w:p>
    <w:p w14:paraId="25BB0B62" w14:textId="77777777" w:rsidR="003229F9" w:rsidRPr="006C191A" w:rsidRDefault="003229F9"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17EB8CF" w14:textId="734DCE91" w:rsidR="006C191A" w:rsidRPr="003229F9"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229F9">
        <w:rPr>
          <w:rFonts w:ascii="Arial" w:eastAsia="Times New Roman" w:hAnsi="Arial" w:cs="Arial"/>
          <w:i/>
          <w:iCs/>
          <w:color w:val="0F1115"/>
          <w:kern w:val="0"/>
          <w:sz w:val="20"/>
          <w:szCs w:val="20"/>
          <w:lang w:eastAsia="en-GB"/>
          <w14:ligatures w14:val="none"/>
        </w:rPr>
        <w:t>Funding</w:t>
      </w:r>
    </w:p>
    <w:p w14:paraId="6584A2A8" w14:textId="77777777" w:rsid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No external funding was received for this study. The authors bore all costs associated with data collection, laboratory analyses, and manuscript preparation.</w:t>
      </w:r>
    </w:p>
    <w:p w14:paraId="3D3ABAD3" w14:textId="77777777" w:rsidR="003229F9" w:rsidRPr="006C191A" w:rsidRDefault="003229F9"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C60EF7C" w14:textId="4B3CE61A" w:rsidR="006C191A" w:rsidRPr="003229F9"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229F9">
        <w:rPr>
          <w:rFonts w:ascii="Arial" w:eastAsia="Times New Roman" w:hAnsi="Arial" w:cs="Arial"/>
          <w:i/>
          <w:iCs/>
          <w:color w:val="0F1115"/>
          <w:kern w:val="0"/>
          <w:sz w:val="20"/>
          <w:szCs w:val="20"/>
          <w:lang w:eastAsia="en-GB"/>
          <w14:ligatures w14:val="none"/>
        </w:rPr>
        <w:t>Author Contributions</w:t>
      </w:r>
    </w:p>
    <w:p w14:paraId="1DD02378" w14:textId="004ABA51" w:rsidR="006C191A" w:rsidRPr="006C191A" w:rsidRDefault="003229F9" w:rsidP="003229F9">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3229F9">
        <w:rPr>
          <w:rFonts w:ascii="Arial" w:eastAsia="Times New Roman" w:hAnsi="Arial" w:cs="Arial"/>
          <w:color w:val="0F1115"/>
          <w:kern w:val="0"/>
          <w:sz w:val="20"/>
          <w:szCs w:val="20"/>
          <w:lang w:eastAsia="en-GB"/>
          <w14:ligatures w14:val="none"/>
        </w:rPr>
        <w:t>HAK</w:t>
      </w:r>
      <w:r w:rsidR="005F4F78">
        <w:rPr>
          <w:rFonts w:ascii="Arial" w:eastAsia="Times New Roman" w:hAnsi="Arial" w:cs="Arial"/>
          <w:color w:val="0F1115"/>
          <w:kern w:val="0"/>
          <w:sz w:val="20"/>
          <w:szCs w:val="20"/>
          <w:lang w:eastAsia="en-GB"/>
          <w14:ligatures w14:val="none"/>
        </w:rPr>
        <w:t xml:space="preserve"> worked on the</w:t>
      </w:r>
      <w:r w:rsidR="006C191A" w:rsidRPr="006C191A">
        <w:rPr>
          <w:rFonts w:ascii="Arial" w:eastAsia="Times New Roman" w:hAnsi="Arial" w:cs="Arial"/>
          <w:color w:val="0F1115"/>
          <w:kern w:val="0"/>
          <w:sz w:val="20"/>
          <w:szCs w:val="20"/>
          <w:lang w:eastAsia="en-GB"/>
          <w14:ligatures w14:val="none"/>
        </w:rPr>
        <w:t> </w:t>
      </w:r>
      <w:r w:rsidR="005F4F78">
        <w:rPr>
          <w:rFonts w:ascii="Arial" w:eastAsia="Times New Roman" w:hAnsi="Arial" w:cs="Arial"/>
          <w:color w:val="0F1115"/>
          <w:kern w:val="0"/>
          <w:sz w:val="20"/>
          <w:szCs w:val="20"/>
          <w:lang w:eastAsia="en-GB"/>
          <w14:ligatures w14:val="none"/>
        </w:rPr>
        <w:t>c</w:t>
      </w:r>
      <w:r w:rsidR="006C191A" w:rsidRPr="006C191A">
        <w:rPr>
          <w:rFonts w:ascii="Arial" w:eastAsia="Times New Roman" w:hAnsi="Arial" w:cs="Arial"/>
          <w:color w:val="0F1115"/>
          <w:kern w:val="0"/>
          <w:sz w:val="20"/>
          <w:szCs w:val="20"/>
          <w:lang w:eastAsia="en-GB"/>
          <w14:ligatures w14:val="none"/>
        </w:rPr>
        <w:t xml:space="preserve">onceptualisation, </w:t>
      </w:r>
      <w:r w:rsidR="005F4F78">
        <w:rPr>
          <w:rFonts w:ascii="Arial" w:eastAsia="Times New Roman" w:hAnsi="Arial" w:cs="Arial"/>
          <w:color w:val="0F1115"/>
          <w:kern w:val="0"/>
          <w:sz w:val="20"/>
          <w:szCs w:val="20"/>
          <w:lang w:eastAsia="en-GB"/>
          <w14:ligatures w14:val="none"/>
        </w:rPr>
        <w:t>i</w:t>
      </w:r>
      <w:r w:rsidR="006C191A" w:rsidRPr="006C191A">
        <w:rPr>
          <w:rFonts w:ascii="Arial" w:eastAsia="Times New Roman" w:hAnsi="Arial" w:cs="Arial"/>
          <w:color w:val="0F1115"/>
          <w:kern w:val="0"/>
          <w:sz w:val="20"/>
          <w:szCs w:val="20"/>
          <w:lang w:eastAsia="en-GB"/>
          <w14:ligatures w14:val="none"/>
        </w:rPr>
        <w:t xml:space="preserve">nvestigation, </w:t>
      </w:r>
      <w:r w:rsidR="005F4F78">
        <w:rPr>
          <w:rFonts w:ascii="Arial" w:eastAsia="Times New Roman" w:hAnsi="Arial" w:cs="Arial"/>
          <w:color w:val="0F1115"/>
          <w:kern w:val="0"/>
          <w:sz w:val="20"/>
          <w:szCs w:val="20"/>
          <w:lang w:eastAsia="en-GB"/>
          <w14:ligatures w14:val="none"/>
        </w:rPr>
        <w:t>d</w:t>
      </w:r>
      <w:r w:rsidR="006C191A" w:rsidRPr="006C191A">
        <w:rPr>
          <w:rFonts w:ascii="Arial" w:eastAsia="Times New Roman" w:hAnsi="Arial" w:cs="Arial"/>
          <w:color w:val="0F1115"/>
          <w:kern w:val="0"/>
          <w:sz w:val="20"/>
          <w:szCs w:val="20"/>
          <w:lang w:eastAsia="en-GB"/>
          <w14:ligatures w14:val="none"/>
        </w:rPr>
        <w:t xml:space="preserve">ata curation, </w:t>
      </w:r>
      <w:r w:rsidR="005F4F78">
        <w:rPr>
          <w:rFonts w:ascii="Arial" w:eastAsia="Times New Roman" w:hAnsi="Arial" w:cs="Arial"/>
          <w:color w:val="0F1115"/>
          <w:kern w:val="0"/>
          <w:sz w:val="20"/>
          <w:szCs w:val="20"/>
          <w:lang w:eastAsia="en-GB"/>
          <w14:ligatures w14:val="none"/>
        </w:rPr>
        <w:t>f</w:t>
      </w:r>
      <w:r w:rsidR="006C191A" w:rsidRPr="006C191A">
        <w:rPr>
          <w:rFonts w:ascii="Arial" w:eastAsia="Times New Roman" w:hAnsi="Arial" w:cs="Arial"/>
          <w:color w:val="0F1115"/>
          <w:kern w:val="0"/>
          <w:sz w:val="20"/>
          <w:szCs w:val="20"/>
          <w:lang w:eastAsia="en-GB"/>
          <w14:ligatures w14:val="none"/>
        </w:rPr>
        <w:t xml:space="preserve">ormal analysis, </w:t>
      </w:r>
      <w:r w:rsidR="005F4F78">
        <w:rPr>
          <w:rFonts w:ascii="Arial" w:eastAsia="Times New Roman" w:hAnsi="Arial" w:cs="Arial"/>
          <w:color w:val="0F1115"/>
          <w:kern w:val="0"/>
          <w:sz w:val="20"/>
          <w:szCs w:val="20"/>
          <w:lang w:eastAsia="en-GB"/>
          <w14:ligatures w14:val="none"/>
        </w:rPr>
        <w:t>w</w:t>
      </w:r>
      <w:r w:rsidR="006C191A" w:rsidRPr="006C191A">
        <w:rPr>
          <w:rFonts w:ascii="Arial" w:eastAsia="Times New Roman" w:hAnsi="Arial" w:cs="Arial"/>
          <w:color w:val="0F1115"/>
          <w:kern w:val="0"/>
          <w:sz w:val="20"/>
          <w:szCs w:val="20"/>
          <w:lang w:eastAsia="en-GB"/>
          <w14:ligatures w14:val="none"/>
        </w:rPr>
        <w:t>riting</w:t>
      </w:r>
      <w:r w:rsidR="005F4F78">
        <w:rPr>
          <w:rFonts w:ascii="Arial" w:eastAsia="Times New Roman" w:hAnsi="Arial" w:cs="Arial"/>
          <w:color w:val="0F1115"/>
          <w:kern w:val="0"/>
          <w:sz w:val="20"/>
          <w:szCs w:val="20"/>
          <w:lang w:eastAsia="en-GB"/>
          <w14:ligatures w14:val="none"/>
        </w:rPr>
        <w:t xml:space="preserve"> the </w:t>
      </w:r>
      <w:r w:rsidR="006C191A" w:rsidRPr="006C191A">
        <w:rPr>
          <w:rFonts w:ascii="Arial" w:eastAsia="Times New Roman" w:hAnsi="Arial" w:cs="Arial"/>
          <w:color w:val="0F1115"/>
          <w:kern w:val="0"/>
          <w:sz w:val="20"/>
          <w:szCs w:val="20"/>
          <w:lang w:eastAsia="en-GB"/>
          <w14:ligatures w14:val="none"/>
        </w:rPr>
        <w:t>original draft</w:t>
      </w:r>
      <w:r w:rsidR="005F4F78">
        <w:rPr>
          <w:rFonts w:ascii="Arial" w:eastAsia="Times New Roman" w:hAnsi="Arial" w:cs="Arial"/>
          <w:color w:val="0F1115"/>
          <w:kern w:val="0"/>
          <w:sz w:val="20"/>
          <w:szCs w:val="20"/>
          <w:lang w:eastAsia="en-GB"/>
          <w14:ligatures w14:val="none"/>
        </w:rPr>
        <w:t xml:space="preserve"> and</w:t>
      </w:r>
      <w:r w:rsidR="006C191A" w:rsidRPr="006C191A">
        <w:rPr>
          <w:rFonts w:ascii="Arial" w:eastAsia="Times New Roman" w:hAnsi="Arial" w:cs="Arial"/>
          <w:color w:val="0F1115"/>
          <w:kern w:val="0"/>
          <w:sz w:val="20"/>
          <w:szCs w:val="20"/>
          <w:lang w:eastAsia="en-GB"/>
          <w14:ligatures w14:val="none"/>
        </w:rPr>
        <w:t xml:space="preserve"> </w:t>
      </w:r>
      <w:r w:rsidR="005F4F78">
        <w:rPr>
          <w:rFonts w:ascii="Arial" w:eastAsia="Times New Roman" w:hAnsi="Arial" w:cs="Arial"/>
          <w:color w:val="0F1115"/>
          <w:kern w:val="0"/>
          <w:sz w:val="20"/>
          <w:szCs w:val="20"/>
          <w:lang w:eastAsia="en-GB"/>
          <w14:ligatures w14:val="none"/>
        </w:rPr>
        <w:t>p</w:t>
      </w:r>
      <w:r w:rsidR="006C191A" w:rsidRPr="006C191A">
        <w:rPr>
          <w:rFonts w:ascii="Arial" w:eastAsia="Times New Roman" w:hAnsi="Arial" w:cs="Arial"/>
          <w:color w:val="0F1115"/>
          <w:kern w:val="0"/>
          <w:sz w:val="20"/>
          <w:szCs w:val="20"/>
          <w:lang w:eastAsia="en-GB"/>
          <w14:ligatures w14:val="none"/>
        </w:rPr>
        <w:t>roject administration.</w:t>
      </w:r>
    </w:p>
    <w:p w14:paraId="54ED67A4" w14:textId="697B16FF" w:rsidR="006C191A" w:rsidRDefault="003229F9" w:rsidP="003229F9">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3229F9">
        <w:rPr>
          <w:rFonts w:ascii="Arial" w:eastAsia="Times New Roman" w:hAnsi="Arial" w:cs="Arial"/>
          <w:color w:val="0F1115"/>
          <w:kern w:val="0"/>
          <w:sz w:val="20"/>
          <w:szCs w:val="20"/>
          <w:lang w:eastAsia="en-GB"/>
          <w14:ligatures w14:val="none"/>
        </w:rPr>
        <w:t>HSH</w:t>
      </w:r>
      <w:r w:rsidR="005F4F78">
        <w:rPr>
          <w:rFonts w:ascii="Arial" w:eastAsia="Times New Roman" w:hAnsi="Arial" w:cs="Arial"/>
          <w:color w:val="0F1115"/>
          <w:kern w:val="0"/>
          <w:sz w:val="20"/>
          <w:szCs w:val="20"/>
          <w:lang w:eastAsia="en-GB"/>
          <w14:ligatures w14:val="none"/>
        </w:rPr>
        <w:t xml:space="preserve"> did the</w:t>
      </w:r>
      <w:r w:rsidR="006C191A" w:rsidRPr="006C191A">
        <w:rPr>
          <w:rFonts w:ascii="Arial" w:eastAsia="Times New Roman" w:hAnsi="Arial" w:cs="Arial"/>
          <w:color w:val="0F1115"/>
          <w:kern w:val="0"/>
          <w:sz w:val="20"/>
          <w:szCs w:val="20"/>
          <w:lang w:eastAsia="en-GB"/>
          <w14:ligatures w14:val="none"/>
        </w:rPr>
        <w:t> </w:t>
      </w:r>
      <w:r w:rsidR="005F4F78">
        <w:rPr>
          <w:rFonts w:ascii="Arial" w:eastAsia="Times New Roman" w:hAnsi="Arial" w:cs="Arial"/>
          <w:color w:val="0F1115"/>
          <w:kern w:val="0"/>
          <w:sz w:val="20"/>
          <w:szCs w:val="20"/>
          <w:lang w:eastAsia="en-GB"/>
          <w14:ligatures w14:val="none"/>
        </w:rPr>
        <w:t>m</w:t>
      </w:r>
      <w:r w:rsidR="006C191A" w:rsidRPr="006C191A">
        <w:rPr>
          <w:rFonts w:ascii="Arial" w:eastAsia="Times New Roman" w:hAnsi="Arial" w:cs="Arial"/>
          <w:color w:val="0F1115"/>
          <w:kern w:val="0"/>
          <w:sz w:val="20"/>
          <w:szCs w:val="20"/>
          <w:lang w:eastAsia="en-GB"/>
          <w14:ligatures w14:val="none"/>
        </w:rPr>
        <w:t xml:space="preserve">ethodology, </w:t>
      </w:r>
      <w:r w:rsidR="005F4F78">
        <w:rPr>
          <w:rFonts w:ascii="Arial" w:eastAsia="Times New Roman" w:hAnsi="Arial" w:cs="Arial"/>
          <w:color w:val="0F1115"/>
          <w:kern w:val="0"/>
          <w:sz w:val="20"/>
          <w:szCs w:val="20"/>
          <w:lang w:eastAsia="en-GB"/>
          <w14:ligatures w14:val="none"/>
        </w:rPr>
        <w:t>v</w:t>
      </w:r>
      <w:r w:rsidR="006C191A" w:rsidRPr="006C191A">
        <w:rPr>
          <w:rFonts w:ascii="Arial" w:eastAsia="Times New Roman" w:hAnsi="Arial" w:cs="Arial"/>
          <w:color w:val="0F1115"/>
          <w:kern w:val="0"/>
          <w:sz w:val="20"/>
          <w:szCs w:val="20"/>
          <w:lang w:eastAsia="en-GB"/>
          <w14:ligatures w14:val="none"/>
        </w:rPr>
        <w:t xml:space="preserve">alidation, </w:t>
      </w:r>
      <w:r w:rsidR="005F4F78">
        <w:rPr>
          <w:rFonts w:ascii="Arial" w:eastAsia="Times New Roman" w:hAnsi="Arial" w:cs="Arial"/>
          <w:color w:val="0F1115"/>
          <w:kern w:val="0"/>
          <w:sz w:val="20"/>
          <w:szCs w:val="20"/>
          <w:lang w:eastAsia="en-GB"/>
          <w14:ligatures w14:val="none"/>
        </w:rPr>
        <w:t>s</w:t>
      </w:r>
      <w:r w:rsidR="006C191A" w:rsidRPr="006C191A">
        <w:rPr>
          <w:rFonts w:ascii="Arial" w:eastAsia="Times New Roman" w:hAnsi="Arial" w:cs="Arial"/>
          <w:color w:val="0F1115"/>
          <w:kern w:val="0"/>
          <w:sz w:val="20"/>
          <w:szCs w:val="20"/>
          <w:lang w:eastAsia="en-GB"/>
          <w14:ligatures w14:val="none"/>
        </w:rPr>
        <w:t xml:space="preserve">upervision, </w:t>
      </w:r>
      <w:r w:rsidR="005F4F78">
        <w:rPr>
          <w:rFonts w:ascii="Arial" w:eastAsia="Times New Roman" w:hAnsi="Arial" w:cs="Arial"/>
          <w:color w:val="0F1115"/>
          <w:kern w:val="0"/>
          <w:sz w:val="20"/>
          <w:szCs w:val="20"/>
          <w:lang w:eastAsia="en-GB"/>
          <w14:ligatures w14:val="none"/>
        </w:rPr>
        <w:t>w</w:t>
      </w:r>
      <w:r w:rsidR="006C191A" w:rsidRPr="006C191A">
        <w:rPr>
          <w:rFonts w:ascii="Arial" w:eastAsia="Times New Roman" w:hAnsi="Arial" w:cs="Arial"/>
          <w:color w:val="0F1115"/>
          <w:kern w:val="0"/>
          <w:sz w:val="20"/>
          <w:szCs w:val="20"/>
          <w:lang w:eastAsia="en-GB"/>
          <w14:ligatures w14:val="none"/>
        </w:rPr>
        <w:t xml:space="preserve">riting </w:t>
      </w:r>
      <w:r w:rsidR="005F4F78">
        <w:rPr>
          <w:rFonts w:ascii="Arial" w:eastAsia="Times New Roman" w:hAnsi="Arial" w:cs="Arial"/>
          <w:color w:val="0F1115"/>
          <w:kern w:val="0"/>
          <w:sz w:val="20"/>
          <w:szCs w:val="20"/>
          <w:lang w:eastAsia="en-GB"/>
          <w14:ligatures w14:val="none"/>
        </w:rPr>
        <w:t xml:space="preserve">the </w:t>
      </w:r>
      <w:r w:rsidR="006C191A" w:rsidRPr="006C191A">
        <w:rPr>
          <w:rFonts w:ascii="Arial" w:eastAsia="Times New Roman" w:hAnsi="Arial" w:cs="Arial"/>
          <w:color w:val="0F1115"/>
          <w:kern w:val="0"/>
          <w:sz w:val="20"/>
          <w:szCs w:val="20"/>
          <w:lang w:eastAsia="en-GB"/>
          <w14:ligatures w14:val="none"/>
        </w:rPr>
        <w:t>review &amp; editing</w:t>
      </w:r>
      <w:r w:rsidR="005F4F78">
        <w:rPr>
          <w:rFonts w:ascii="Arial" w:eastAsia="Times New Roman" w:hAnsi="Arial" w:cs="Arial"/>
          <w:color w:val="0F1115"/>
          <w:kern w:val="0"/>
          <w:sz w:val="20"/>
          <w:szCs w:val="20"/>
          <w:lang w:eastAsia="en-GB"/>
          <w14:ligatures w14:val="none"/>
        </w:rPr>
        <w:t xml:space="preserve"> and</w:t>
      </w:r>
      <w:r w:rsidR="006C191A" w:rsidRPr="006C191A">
        <w:rPr>
          <w:rFonts w:ascii="Arial" w:eastAsia="Times New Roman" w:hAnsi="Arial" w:cs="Arial"/>
          <w:color w:val="0F1115"/>
          <w:kern w:val="0"/>
          <w:sz w:val="20"/>
          <w:szCs w:val="20"/>
          <w:lang w:eastAsia="en-GB"/>
          <w14:ligatures w14:val="none"/>
        </w:rPr>
        <w:t xml:space="preserve"> </w:t>
      </w:r>
      <w:r w:rsidR="005F4F78">
        <w:rPr>
          <w:rFonts w:ascii="Arial" w:eastAsia="Times New Roman" w:hAnsi="Arial" w:cs="Arial"/>
          <w:color w:val="0F1115"/>
          <w:kern w:val="0"/>
          <w:sz w:val="20"/>
          <w:szCs w:val="20"/>
          <w:lang w:eastAsia="en-GB"/>
          <w14:ligatures w14:val="none"/>
        </w:rPr>
        <w:t>v</w:t>
      </w:r>
      <w:r w:rsidR="006C191A" w:rsidRPr="006C191A">
        <w:rPr>
          <w:rFonts w:ascii="Arial" w:eastAsia="Times New Roman" w:hAnsi="Arial" w:cs="Arial"/>
          <w:color w:val="0F1115"/>
          <w:kern w:val="0"/>
          <w:sz w:val="20"/>
          <w:szCs w:val="20"/>
          <w:lang w:eastAsia="en-GB"/>
          <w14:ligatures w14:val="none"/>
        </w:rPr>
        <w:t>isualisation.</w:t>
      </w:r>
    </w:p>
    <w:p w14:paraId="7F5C159D" w14:textId="77777777" w:rsidR="003229F9" w:rsidRPr="006C191A" w:rsidRDefault="003229F9" w:rsidP="003229F9">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2ADEF7F" w14:textId="49F05687" w:rsidR="006C191A" w:rsidRPr="003229F9" w:rsidRDefault="006C191A" w:rsidP="006C191A">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229F9">
        <w:rPr>
          <w:rFonts w:ascii="Arial" w:eastAsia="Times New Roman" w:hAnsi="Arial" w:cs="Arial"/>
          <w:i/>
          <w:iCs/>
          <w:color w:val="0F1115"/>
          <w:kern w:val="0"/>
          <w:sz w:val="20"/>
          <w:szCs w:val="20"/>
          <w:lang w:eastAsia="en-GB"/>
          <w14:ligatures w14:val="none"/>
        </w:rPr>
        <w:t>Acknowledgements</w:t>
      </w:r>
    </w:p>
    <w:p w14:paraId="55C9AAB6" w14:textId="2149E9FA" w:rsidR="006C191A" w:rsidRPr="006C191A" w:rsidRDefault="006C191A" w:rsidP="006C191A">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6C191A">
        <w:rPr>
          <w:rFonts w:ascii="Arial" w:eastAsia="Times New Roman" w:hAnsi="Arial" w:cs="Arial"/>
          <w:color w:val="0F1115"/>
          <w:kern w:val="0"/>
          <w:sz w:val="20"/>
          <w:szCs w:val="20"/>
          <w:lang w:eastAsia="en-GB"/>
          <w14:ligatures w14:val="none"/>
        </w:rPr>
        <w:t xml:space="preserve">The authors thank the staff of the Neurology </w:t>
      </w:r>
      <w:r w:rsidR="003229F9">
        <w:rPr>
          <w:rFonts w:ascii="Arial" w:eastAsia="Times New Roman" w:hAnsi="Arial" w:cs="Arial"/>
          <w:color w:val="0F1115"/>
          <w:kern w:val="0"/>
          <w:sz w:val="20"/>
          <w:szCs w:val="20"/>
          <w:lang w:eastAsia="en-GB"/>
          <w14:ligatures w14:val="none"/>
        </w:rPr>
        <w:t>Centre</w:t>
      </w:r>
      <w:r w:rsidRPr="006C191A">
        <w:rPr>
          <w:rFonts w:ascii="Arial" w:eastAsia="Times New Roman" w:hAnsi="Arial" w:cs="Arial"/>
          <w:color w:val="0F1115"/>
          <w:kern w:val="0"/>
          <w:sz w:val="20"/>
          <w:szCs w:val="20"/>
          <w:lang w:eastAsia="en-GB"/>
          <w14:ligatures w14:val="none"/>
        </w:rPr>
        <w:t xml:space="preserve"> at Al</w:t>
      </w:r>
      <w:r w:rsidRPr="006C191A">
        <w:rPr>
          <w:rFonts w:ascii="Arial" w:eastAsia="Times New Roman" w:hAnsi="Arial" w:cs="Arial"/>
          <w:color w:val="0F1115"/>
          <w:kern w:val="0"/>
          <w:sz w:val="20"/>
          <w:szCs w:val="20"/>
          <w:lang w:eastAsia="en-GB"/>
          <w14:ligatures w14:val="none"/>
        </w:rPr>
        <w:noBreakHyphen/>
        <w:t>Diwaniyah Teaching Hospital for their assistance in patient recruitment and clinical data collection. We are also grateful to the laboratory technicians who performed the ELISA assays and to all the participants who volunteered for this study. Special thanks to the College of Health and Medical Technologies, Kufa, for providing institutional support.</w:t>
      </w:r>
    </w:p>
    <w:p w14:paraId="34A6DE36" w14:textId="5895729D" w:rsidR="006C191A" w:rsidRPr="006C191A" w:rsidRDefault="006C191A" w:rsidP="006C191A">
      <w:pPr>
        <w:spacing w:after="0" w:line="240" w:lineRule="auto"/>
        <w:jc w:val="both"/>
        <w:rPr>
          <w:rFonts w:ascii="Arial" w:eastAsia="Times New Roman" w:hAnsi="Arial" w:cs="Arial"/>
          <w:kern w:val="0"/>
          <w:sz w:val="20"/>
          <w:szCs w:val="20"/>
          <w:lang w:eastAsia="en-GB"/>
          <w14:ligatures w14:val="none"/>
        </w:rPr>
      </w:pPr>
    </w:p>
    <w:p w14:paraId="00A78C25" w14:textId="012955E4" w:rsidR="006C191A" w:rsidRPr="006C191A" w:rsidRDefault="006C191A" w:rsidP="006C191A">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6C191A">
        <w:rPr>
          <w:rFonts w:ascii="Arial" w:eastAsia="Times New Roman" w:hAnsi="Arial" w:cs="Arial"/>
          <w:b/>
          <w:bCs/>
          <w:color w:val="0F1115"/>
          <w:kern w:val="0"/>
          <w:sz w:val="20"/>
          <w:szCs w:val="20"/>
          <w:lang w:eastAsia="en-GB"/>
          <w14:ligatures w14:val="none"/>
        </w:rPr>
        <w:t>References</w:t>
      </w:r>
    </w:p>
    <w:p w14:paraId="7F294A15" w14:textId="104CA41B" w:rsidR="00C871F5" w:rsidRDefault="00C871F5"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5" w:name="_Ref229995336"/>
      <w:r w:rsidRPr="00C871F5">
        <w:rPr>
          <w:rFonts w:ascii="Arial" w:eastAsia="Times New Roman" w:hAnsi="Arial" w:cs="Arial"/>
          <w:color w:val="0F1115"/>
          <w:kern w:val="0"/>
          <w:sz w:val="20"/>
          <w:szCs w:val="20"/>
          <w:lang w:eastAsia="en-GB"/>
          <w14:ligatures w14:val="none"/>
        </w:rPr>
        <w:t>Beghi E. The epidemiology of epilepsy. Neuroepidemiology. 2020 Mar 17;54(2):185-91.</w:t>
      </w:r>
      <w:r w:rsidR="00F6628E">
        <w:rPr>
          <w:rFonts w:ascii="Arial" w:eastAsia="Times New Roman" w:hAnsi="Arial" w:cs="Arial"/>
          <w:color w:val="0F1115"/>
          <w:kern w:val="0"/>
          <w:sz w:val="20"/>
          <w:szCs w:val="20"/>
          <w:lang w:eastAsia="en-GB"/>
          <w14:ligatures w14:val="none"/>
        </w:rPr>
        <w:t xml:space="preserve"> </w:t>
      </w:r>
      <w:hyperlink r:id="rId16" w:history="1">
        <w:r w:rsidR="00F6628E" w:rsidRPr="00CF2453">
          <w:rPr>
            <w:rStyle w:val="Hyperlink"/>
            <w:rFonts w:ascii="Arial" w:eastAsia="Times New Roman" w:hAnsi="Arial" w:cs="Arial"/>
            <w:color w:val="0000FF"/>
            <w:kern w:val="0"/>
            <w:sz w:val="20"/>
            <w:szCs w:val="20"/>
            <w:lang w:eastAsia="en-GB"/>
            <w14:ligatures w14:val="none"/>
          </w:rPr>
          <w:t>https://doi.org/10.1159/000503831</w:t>
        </w:r>
      </w:hyperlink>
      <w:bookmarkEnd w:id="5"/>
      <w:r w:rsidR="00F6628E" w:rsidRPr="00CF2453">
        <w:rPr>
          <w:rFonts w:ascii="Arial" w:eastAsia="Times New Roman" w:hAnsi="Arial" w:cs="Arial"/>
          <w:color w:val="0000FF"/>
          <w:kern w:val="0"/>
          <w:sz w:val="20"/>
          <w:szCs w:val="20"/>
          <w:lang w:eastAsia="en-GB"/>
          <w14:ligatures w14:val="none"/>
        </w:rPr>
        <w:t xml:space="preserve"> </w:t>
      </w:r>
    </w:p>
    <w:p w14:paraId="7A1F14D3" w14:textId="5C1B730F" w:rsidR="00E90F4D" w:rsidRDefault="006C191A"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6" w:name="_Ref229995347"/>
      <w:r w:rsidRPr="00E90F4D">
        <w:rPr>
          <w:rFonts w:ascii="Arial" w:eastAsia="Times New Roman" w:hAnsi="Arial" w:cs="Arial"/>
          <w:color w:val="0F1115"/>
          <w:kern w:val="0"/>
          <w:sz w:val="20"/>
          <w:szCs w:val="20"/>
          <w:lang w:eastAsia="en-GB"/>
          <w14:ligatures w14:val="none"/>
        </w:rPr>
        <w:t>Saxena S, Singh S, Sankaraneni R, Makhija K. Epilepsy. In: Paulman PM, Taylor RB, Paulman AA, Nasir LS, editors. Family medicine: principles and practice. Cham: Springer International Publishing; 2022. p. 889–904.</w:t>
      </w:r>
      <w:r w:rsidR="00F6628E">
        <w:rPr>
          <w:rFonts w:ascii="Arial" w:eastAsia="Times New Roman" w:hAnsi="Arial" w:cs="Arial"/>
          <w:color w:val="0F1115"/>
          <w:kern w:val="0"/>
          <w:sz w:val="20"/>
          <w:szCs w:val="20"/>
          <w:lang w:eastAsia="en-GB"/>
          <w14:ligatures w14:val="none"/>
        </w:rPr>
        <w:t xml:space="preserve"> </w:t>
      </w:r>
      <w:hyperlink r:id="rId17" w:history="1">
        <w:r w:rsidR="00F6628E" w:rsidRPr="00CF2453">
          <w:rPr>
            <w:rStyle w:val="Hyperlink"/>
            <w:rFonts w:ascii="Arial" w:eastAsia="Times New Roman" w:hAnsi="Arial" w:cs="Arial"/>
            <w:color w:val="0000FF"/>
            <w:kern w:val="0"/>
            <w:sz w:val="20"/>
            <w:szCs w:val="20"/>
            <w:lang w:eastAsia="en-GB"/>
            <w14:ligatures w14:val="none"/>
          </w:rPr>
          <w:t>https://doi.org/10.1007/978-3-030-54441-6_71</w:t>
        </w:r>
      </w:hyperlink>
      <w:bookmarkEnd w:id="6"/>
      <w:r w:rsidR="00F6628E" w:rsidRPr="00CF2453">
        <w:rPr>
          <w:rFonts w:ascii="Arial" w:eastAsia="Times New Roman" w:hAnsi="Arial" w:cs="Arial"/>
          <w:color w:val="0000FF"/>
          <w:kern w:val="0"/>
          <w:sz w:val="20"/>
          <w:szCs w:val="20"/>
          <w:lang w:eastAsia="en-GB"/>
          <w14:ligatures w14:val="none"/>
        </w:rPr>
        <w:t xml:space="preserve"> </w:t>
      </w:r>
    </w:p>
    <w:p w14:paraId="2C06BBF4" w14:textId="098C4B7F" w:rsidR="00E90F4D"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7" w:name="_Ref229995352"/>
      <w:r w:rsidRPr="00947354">
        <w:rPr>
          <w:rFonts w:ascii="Arial" w:eastAsia="Times New Roman" w:hAnsi="Arial" w:cs="Arial"/>
          <w:color w:val="0F1115"/>
          <w:kern w:val="0"/>
          <w:sz w:val="20"/>
          <w:szCs w:val="20"/>
          <w:lang w:eastAsia="en-GB"/>
          <w14:ligatures w14:val="none"/>
        </w:rPr>
        <w:t>Falco-Walter J. Epilepsy—definition, classification, pathophysiology, and epidemiology</w:t>
      </w:r>
      <w:r>
        <w:rPr>
          <w:rFonts w:ascii="Arial" w:eastAsia="Times New Roman" w:hAnsi="Arial" w:cs="Arial"/>
          <w:color w:val="0F1115"/>
          <w:kern w:val="0"/>
          <w:sz w:val="20"/>
          <w:szCs w:val="20"/>
          <w:lang w:eastAsia="en-GB"/>
          <w14:ligatures w14:val="none"/>
        </w:rPr>
        <w:t xml:space="preserve">. </w:t>
      </w:r>
      <w:r w:rsidRPr="00947354">
        <w:rPr>
          <w:rFonts w:ascii="Arial" w:eastAsia="Times New Roman" w:hAnsi="Arial" w:cs="Arial"/>
          <w:color w:val="0F1115"/>
          <w:kern w:val="0"/>
          <w:sz w:val="20"/>
          <w:szCs w:val="20"/>
          <w:lang w:eastAsia="en-GB"/>
          <w14:ligatures w14:val="none"/>
        </w:rPr>
        <w:t xml:space="preserve">Thieme Medical Publishers, Inc. InSeminars in </w:t>
      </w:r>
      <w:r>
        <w:rPr>
          <w:rFonts w:ascii="Arial" w:eastAsia="Times New Roman" w:hAnsi="Arial" w:cs="Arial"/>
          <w:color w:val="0F1115"/>
          <w:kern w:val="0"/>
          <w:sz w:val="20"/>
          <w:szCs w:val="20"/>
          <w:lang w:eastAsia="en-GB"/>
          <w14:ligatures w14:val="none"/>
        </w:rPr>
        <w:t>Neurology.</w:t>
      </w:r>
      <w:r w:rsidR="006C191A" w:rsidRPr="00E90F4D">
        <w:rPr>
          <w:rFonts w:ascii="Arial" w:eastAsia="Times New Roman" w:hAnsi="Arial" w:cs="Arial"/>
          <w:color w:val="0F1115"/>
          <w:kern w:val="0"/>
          <w:sz w:val="20"/>
          <w:szCs w:val="20"/>
          <w:lang w:eastAsia="en-GB"/>
          <w14:ligatures w14:val="none"/>
        </w:rPr>
        <w:t xml:space="preserve"> 2020</w:t>
      </w:r>
      <w:r>
        <w:rPr>
          <w:rFonts w:ascii="Arial" w:eastAsia="Times New Roman" w:hAnsi="Arial" w:cs="Arial"/>
          <w:color w:val="0F1115"/>
          <w:kern w:val="0"/>
          <w:sz w:val="20"/>
          <w:szCs w:val="20"/>
          <w:lang w:eastAsia="en-GB"/>
          <w14:ligatures w14:val="none"/>
        </w:rPr>
        <w:t xml:space="preserve"> Dec</w:t>
      </w:r>
      <w:r w:rsidR="006C191A" w:rsidRPr="00E90F4D">
        <w:rPr>
          <w:rFonts w:ascii="Arial" w:eastAsia="Times New Roman" w:hAnsi="Arial" w:cs="Arial"/>
          <w:color w:val="0F1115"/>
          <w:kern w:val="0"/>
          <w:sz w:val="20"/>
          <w:szCs w:val="20"/>
          <w:lang w:eastAsia="en-GB"/>
          <w14:ligatures w14:val="none"/>
        </w:rPr>
        <w:t>;40(6):617–23.</w:t>
      </w:r>
      <w:r w:rsidR="00F6628E">
        <w:rPr>
          <w:rFonts w:ascii="Arial" w:eastAsia="Times New Roman" w:hAnsi="Arial" w:cs="Arial"/>
          <w:color w:val="0F1115"/>
          <w:kern w:val="0"/>
          <w:sz w:val="20"/>
          <w:szCs w:val="20"/>
          <w:lang w:eastAsia="en-GB"/>
          <w14:ligatures w14:val="none"/>
        </w:rPr>
        <w:t xml:space="preserve"> </w:t>
      </w:r>
      <w:hyperlink r:id="rId18" w:history="1">
        <w:r w:rsidR="00F6628E" w:rsidRPr="00CF2453">
          <w:rPr>
            <w:rStyle w:val="Hyperlink"/>
            <w:rFonts w:ascii="Arial" w:eastAsia="Times New Roman" w:hAnsi="Arial" w:cs="Arial"/>
            <w:color w:val="0000FF"/>
            <w:kern w:val="0"/>
            <w:sz w:val="20"/>
            <w:szCs w:val="20"/>
            <w:lang w:eastAsia="en-GB"/>
            <w14:ligatures w14:val="none"/>
          </w:rPr>
          <w:t>https://doi.org/10.1055/s-0040-1718719</w:t>
        </w:r>
      </w:hyperlink>
      <w:bookmarkEnd w:id="7"/>
      <w:r w:rsidR="00F6628E" w:rsidRPr="00CF2453">
        <w:rPr>
          <w:rFonts w:ascii="Arial" w:eastAsia="Times New Roman" w:hAnsi="Arial" w:cs="Arial"/>
          <w:color w:val="0000FF"/>
          <w:kern w:val="0"/>
          <w:sz w:val="20"/>
          <w:szCs w:val="20"/>
          <w:lang w:eastAsia="en-GB"/>
          <w14:ligatures w14:val="none"/>
        </w:rPr>
        <w:t xml:space="preserve"> </w:t>
      </w:r>
    </w:p>
    <w:p w14:paraId="6C7E758E" w14:textId="4F9DBDDB" w:rsidR="00947354"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8" w:name="_Ref229995359"/>
      <w:r w:rsidRPr="00947354">
        <w:rPr>
          <w:rFonts w:ascii="Arial" w:eastAsia="Times New Roman" w:hAnsi="Arial" w:cs="Arial"/>
          <w:color w:val="0F1115"/>
          <w:kern w:val="0"/>
          <w:sz w:val="20"/>
          <w:szCs w:val="20"/>
          <w:lang w:eastAsia="en-GB"/>
          <w14:ligatures w14:val="none"/>
        </w:rPr>
        <w:t xml:space="preserve">Chen Z, Brodie MJ, Ding D, Kwan P. Epidemiology of epilepsy and seizures. Frontiers in </w:t>
      </w:r>
      <w:r w:rsidR="00CF2453">
        <w:rPr>
          <w:rFonts w:ascii="Arial" w:eastAsia="Times New Roman" w:hAnsi="Arial" w:cs="Arial"/>
          <w:color w:val="0F1115"/>
          <w:kern w:val="0"/>
          <w:sz w:val="20"/>
          <w:szCs w:val="20"/>
          <w:lang w:eastAsia="en-GB"/>
          <w14:ligatures w14:val="none"/>
        </w:rPr>
        <w:t>E</w:t>
      </w:r>
      <w:r w:rsidRPr="00947354">
        <w:rPr>
          <w:rFonts w:ascii="Arial" w:eastAsia="Times New Roman" w:hAnsi="Arial" w:cs="Arial"/>
          <w:color w:val="0F1115"/>
          <w:kern w:val="0"/>
          <w:sz w:val="20"/>
          <w:szCs w:val="20"/>
          <w:lang w:eastAsia="en-GB"/>
          <w14:ligatures w14:val="none"/>
        </w:rPr>
        <w:t>pidemiology. 2023 Aug 30;3:1273163.</w:t>
      </w:r>
      <w:r w:rsidR="00F6628E">
        <w:rPr>
          <w:rFonts w:ascii="Arial" w:eastAsia="Times New Roman" w:hAnsi="Arial" w:cs="Arial"/>
          <w:color w:val="0F1115"/>
          <w:kern w:val="0"/>
          <w:sz w:val="20"/>
          <w:szCs w:val="20"/>
          <w:lang w:eastAsia="en-GB"/>
          <w14:ligatures w14:val="none"/>
        </w:rPr>
        <w:t xml:space="preserve"> </w:t>
      </w:r>
      <w:hyperlink r:id="rId19" w:history="1">
        <w:r w:rsidR="00F6628E" w:rsidRPr="00CF2453">
          <w:rPr>
            <w:rStyle w:val="Hyperlink"/>
            <w:rFonts w:ascii="Arial" w:eastAsia="Times New Roman" w:hAnsi="Arial" w:cs="Arial"/>
            <w:color w:val="0000FF"/>
            <w:kern w:val="0"/>
            <w:sz w:val="20"/>
            <w:szCs w:val="20"/>
            <w:lang w:eastAsia="en-GB"/>
            <w14:ligatures w14:val="none"/>
          </w:rPr>
          <w:t>https://doi.org/10.3389/fepid.2023.1273163</w:t>
        </w:r>
      </w:hyperlink>
      <w:bookmarkEnd w:id="8"/>
      <w:r w:rsidR="00F6628E" w:rsidRPr="00CF2453">
        <w:rPr>
          <w:rFonts w:ascii="Arial" w:eastAsia="Times New Roman" w:hAnsi="Arial" w:cs="Arial"/>
          <w:color w:val="0000FF"/>
          <w:kern w:val="0"/>
          <w:sz w:val="20"/>
          <w:szCs w:val="20"/>
          <w:lang w:eastAsia="en-GB"/>
          <w14:ligatures w14:val="none"/>
        </w:rPr>
        <w:t xml:space="preserve"> </w:t>
      </w:r>
    </w:p>
    <w:p w14:paraId="2BAF3AC8" w14:textId="16C0453E" w:rsidR="00E90F4D"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9" w:name="_Ref229995374"/>
      <w:r w:rsidRPr="00947354">
        <w:rPr>
          <w:rFonts w:ascii="Arial" w:eastAsia="Times New Roman" w:hAnsi="Arial" w:cs="Arial"/>
          <w:color w:val="0F1115"/>
          <w:kern w:val="0"/>
          <w:sz w:val="20"/>
          <w:szCs w:val="20"/>
          <w:lang w:eastAsia="en-GB"/>
          <w14:ligatures w14:val="none"/>
        </w:rPr>
        <w:t>Lovik K, Murr NI. Seizure. InStatPearls [Internet]. StatPearls Publishing.</w:t>
      </w:r>
      <w:r>
        <w:rPr>
          <w:rFonts w:ascii="Arial" w:eastAsia="Times New Roman" w:hAnsi="Arial" w:cs="Arial"/>
          <w:color w:val="0F1115"/>
          <w:kern w:val="0"/>
          <w:sz w:val="20"/>
          <w:szCs w:val="20"/>
          <w:lang w:eastAsia="en-GB"/>
          <w14:ligatures w14:val="none"/>
        </w:rPr>
        <w:t xml:space="preserve"> </w:t>
      </w:r>
      <w:r w:rsidR="006C191A" w:rsidRPr="00E90F4D">
        <w:rPr>
          <w:rFonts w:ascii="Arial" w:eastAsia="Times New Roman" w:hAnsi="Arial" w:cs="Arial"/>
          <w:color w:val="0F1115"/>
          <w:kern w:val="0"/>
          <w:sz w:val="20"/>
          <w:szCs w:val="20"/>
          <w:lang w:eastAsia="en-GB"/>
          <w14:ligatures w14:val="none"/>
        </w:rPr>
        <w:t>2023</w:t>
      </w:r>
      <w:r>
        <w:rPr>
          <w:rFonts w:ascii="Arial" w:eastAsia="Times New Roman" w:hAnsi="Arial" w:cs="Arial"/>
          <w:color w:val="0F1115"/>
          <w:kern w:val="0"/>
          <w:sz w:val="20"/>
          <w:szCs w:val="20"/>
          <w:lang w:eastAsia="en-GB"/>
          <w14:ligatures w14:val="none"/>
        </w:rPr>
        <w:t xml:space="preserve"> Feb 7.</w:t>
      </w:r>
      <w:bookmarkEnd w:id="9"/>
    </w:p>
    <w:p w14:paraId="35563E34" w14:textId="6DF60977" w:rsidR="00947354" w:rsidRPr="00CF2453"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0" w:name="_Ref229995381"/>
      <w:r w:rsidRPr="00947354">
        <w:rPr>
          <w:rFonts w:ascii="Arial" w:eastAsia="Times New Roman" w:hAnsi="Arial" w:cs="Arial"/>
          <w:color w:val="0F1115"/>
          <w:kern w:val="0"/>
          <w:sz w:val="20"/>
          <w:szCs w:val="20"/>
          <w:lang w:eastAsia="en-GB"/>
          <w14:ligatures w14:val="none"/>
        </w:rPr>
        <w:t>Leo A, Nesci V, Tallarico M, Amodio N, Cantafio EM, De Sarro G, Constanti A, Russo E, Citraro R. IL-6 receptor blockade by tocilizumab has anti-absence and anti-epileptogenic effects in the WAG/Rij rat model of absence epilepsy. Neurotherapeutics. 2020 Oct 1;17(4):2004-14.</w:t>
      </w:r>
      <w:r w:rsidR="00F6628E">
        <w:rPr>
          <w:rFonts w:ascii="Arial" w:eastAsia="Times New Roman" w:hAnsi="Arial" w:cs="Arial"/>
          <w:color w:val="0F1115"/>
          <w:kern w:val="0"/>
          <w:sz w:val="20"/>
          <w:szCs w:val="20"/>
          <w:lang w:eastAsia="en-GB"/>
          <w14:ligatures w14:val="none"/>
        </w:rPr>
        <w:t xml:space="preserve"> </w:t>
      </w:r>
      <w:hyperlink r:id="rId20" w:history="1">
        <w:r w:rsidR="00F6628E" w:rsidRPr="00CF2453">
          <w:rPr>
            <w:rStyle w:val="Hyperlink"/>
            <w:rFonts w:ascii="Arial" w:eastAsia="Times New Roman" w:hAnsi="Arial" w:cs="Arial"/>
            <w:color w:val="0000FF"/>
            <w:kern w:val="0"/>
            <w:sz w:val="20"/>
            <w:szCs w:val="20"/>
            <w:lang w:eastAsia="en-GB"/>
            <w14:ligatures w14:val="none"/>
          </w:rPr>
          <w:t>https://doi.org/10.1007/s13311-020-00893-8</w:t>
        </w:r>
      </w:hyperlink>
      <w:bookmarkEnd w:id="10"/>
      <w:r w:rsidR="00F6628E" w:rsidRPr="00CF2453">
        <w:rPr>
          <w:rFonts w:ascii="Arial" w:eastAsia="Times New Roman" w:hAnsi="Arial" w:cs="Arial"/>
          <w:color w:val="0000FF"/>
          <w:kern w:val="0"/>
          <w:sz w:val="20"/>
          <w:szCs w:val="20"/>
          <w:lang w:eastAsia="en-GB"/>
          <w14:ligatures w14:val="none"/>
        </w:rPr>
        <w:t xml:space="preserve"> </w:t>
      </w:r>
    </w:p>
    <w:p w14:paraId="7B11A768" w14:textId="20F362B7" w:rsidR="00947354"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1" w:name="_Ref229995409"/>
      <w:r w:rsidRPr="00947354">
        <w:rPr>
          <w:rFonts w:ascii="Arial" w:eastAsia="Times New Roman" w:hAnsi="Arial" w:cs="Arial"/>
          <w:color w:val="0F1115"/>
          <w:kern w:val="0"/>
          <w:sz w:val="20"/>
          <w:szCs w:val="20"/>
          <w:lang w:eastAsia="en-GB"/>
          <w14:ligatures w14:val="none"/>
        </w:rPr>
        <w:t xml:space="preserve">Dalmau J, Geis C, Graus F. Autoantibodies to synaptic receptors and neuronal cell surface proteins in autoimmune diseases of the central nervous system. Physiological </w:t>
      </w:r>
      <w:r w:rsidR="00CF2453">
        <w:rPr>
          <w:rFonts w:ascii="Arial" w:eastAsia="Times New Roman" w:hAnsi="Arial" w:cs="Arial"/>
          <w:color w:val="0F1115"/>
          <w:kern w:val="0"/>
          <w:sz w:val="20"/>
          <w:szCs w:val="20"/>
          <w:lang w:eastAsia="en-GB"/>
          <w14:ligatures w14:val="none"/>
        </w:rPr>
        <w:t>R</w:t>
      </w:r>
      <w:r w:rsidRPr="00947354">
        <w:rPr>
          <w:rFonts w:ascii="Arial" w:eastAsia="Times New Roman" w:hAnsi="Arial" w:cs="Arial"/>
          <w:color w:val="0F1115"/>
          <w:kern w:val="0"/>
          <w:sz w:val="20"/>
          <w:szCs w:val="20"/>
          <w:lang w:eastAsia="en-GB"/>
          <w14:ligatures w14:val="none"/>
        </w:rPr>
        <w:t>eviews. 2017 Apr;97(2):839-87.</w:t>
      </w:r>
      <w:r w:rsidR="00F6628E">
        <w:rPr>
          <w:rFonts w:ascii="Arial" w:eastAsia="Times New Roman" w:hAnsi="Arial" w:cs="Arial"/>
          <w:color w:val="0F1115"/>
          <w:kern w:val="0"/>
          <w:sz w:val="20"/>
          <w:szCs w:val="20"/>
          <w:lang w:eastAsia="en-GB"/>
          <w14:ligatures w14:val="none"/>
        </w:rPr>
        <w:t xml:space="preserve"> </w:t>
      </w:r>
      <w:hyperlink r:id="rId21" w:history="1">
        <w:r w:rsidR="00F6628E" w:rsidRPr="00CF2453">
          <w:rPr>
            <w:rStyle w:val="Hyperlink"/>
            <w:rFonts w:ascii="Arial" w:eastAsia="Times New Roman" w:hAnsi="Arial" w:cs="Arial"/>
            <w:color w:val="0000FF"/>
            <w:kern w:val="0"/>
            <w:sz w:val="20"/>
            <w:szCs w:val="20"/>
            <w:lang w:eastAsia="en-GB"/>
            <w14:ligatures w14:val="none"/>
          </w:rPr>
          <w:t>https://doi.org/10.1152/physrev.00010.2016</w:t>
        </w:r>
      </w:hyperlink>
      <w:bookmarkEnd w:id="11"/>
      <w:r w:rsidR="00F6628E" w:rsidRPr="00CF2453">
        <w:rPr>
          <w:rFonts w:ascii="Arial" w:eastAsia="Times New Roman" w:hAnsi="Arial" w:cs="Arial"/>
          <w:color w:val="0000FF"/>
          <w:kern w:val="0"/>
          <w:sz w:val="20"/>
          <w:szCs w:val="20"/>
          <w:lang w:eastAsia="en-GB"/>
          <w14:ligatures w14:val="none"/>
        </w:rPr>
        <w:t xml:space="preserve"> </w:t>
      </w:r>
    </w:p>
    <w:p w14:paraId="3298DED0" w14:textId="6FDFCF46" w:rsidR="00947354" w:rsidRPr="00CF2453"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2" w:name="_Ref229995415"/>
      <w:r w:rsidRPr="00947354">
        <w:rPr>
          <w:rFonts w:ascii="Arial" w:eastAsia="Times New Roman" w:hAnsi="Arial" w:cs="Arial"/>
          <w:color w:val="0F1115"/>
          <w:kern w:val="0"/>
          <w:sz w:val="20"/>
          <w:szCs w:val="20"/>
          <w:lang w:eastAsia="en-GB"/>
          <w14:ligatures w14:val="none"/>
        </w:rPr>
        <w:t>Flammer J, Neziraj T, Rüegg S, Pröbstel AK. Immune mechanisms in epileptogenesis: update on diagnosis and treatment of autoimmune epilepsy syndromes. Drugs. 2023 Jan 25;83(2):135.</w:t>
      </w:r>
      <w:r w:rsidR="00F6628E">
        <w:rPr>
          <w:rFonts w:ascii="Arial" w:eastAsia="Times New Roman" w:hAnsi="Arial" w:cs="Arial"/>
          <w:color w:val="0F1115"/>
          <w:kern w:val="0"/>
          <w:sz w:val="20"/>
          <w:szCs w:val="20"/>
          <w:lang w:eastAsia="en-GB"/>
          <w14:ligatures w14:val="none"/>
        </w:rPr>
        <w:t xml:space="preserve"> </w:t>
      </w:r>
      <w:hyperlink r:id="rId22" w:history="1">
        <w:r w:rsidR="00F6628E" w:rsidRPr="00CF2453">
          <w:rPr>
            <w:rStyle w:val="Hyperlink"/>
            <w:rFonts w:ascii="Arial" w:eastAsia="Times New Roman" w:hAnsi="Arial" w:cs="Arial"/>
            <w:color w:val="0000FF"/>
            <w:kern w:val="0"/>
            <w:sz w:val="20"/>
            <w:szCs w:val="20"/>
            <w:lang w:eastAsia="en-GB"/>
            <w14:ligatures w14:val="none"/>
          </w:rPr>
          <w:t>https://doi.org/10.1007/s40265-022-01826-9</w:t>
        </w:r>
      </w:hyperlink>
      <w:bookmarkEnd w:id="12"/>
      <w:r w:rsidR="00F6628E" w:rsidRPr="00CF2453">
        <w:rPr>
          <w:rFonts w:ascii="Arial" w:eastAsia="Times New Roman" w:hAnsi="Arial" w:cs="Arial"/>
          <w:color w:val="0000FF"/>
          <w:kern w:val="0"/>
          <w:sz w:val="20"/>
          <w:szCs w:val="20"/>
          <w:lang w:eastAsia="en-GB"/>
          <w14:ligatures w14:val="none"/>
        </w:rPr>
        <w:t xml:space="preserve"> </w:t>
      </w:r>
    </w:p>
    <w:p w14:paraId="23BB25B1" w14:textId="021FE1D0" w:rsidR="00947354" w:rsidRPr="00CF2453"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3" w:name="_Ref229995421"/>
      <w:r w:rsidRPr="00947354">
        <w:rPr>
          <w:rFonts w:ascii="Arial" w:eastAsia="Times New Roman" w:hAnsi="Arial" w:cs="Arial"/>
          <w:color w:val="0F1115"/>
          <w:kern w:val="0"/>
          <w:sz w:val="20"/>
          <w:szCs w:val="20"/>
          <w:lang w:eastAsia="en-GB"/>
          <w14:ligatures w14:val="none"/>
        </w:rPr>
        <w:t>Koto S, Chihara N, Hara A, Matsumoto R. Disorders related to antineuronal antibodies: Autoimmune epilepsy. Clinical and Experimental Neuroimmunology. 2024 Feb;15(1):32-9.</w:t>
      </w:r>
      <w:r w:rsidR="00F6628E">
        <w:rPr>
          <w:rFonts w:ascii="Arial" w:eastAsia="Times New Roman" w:hAnsi="Arial" w:cs="Arial"/>
          <w:color w:val="0F1115"/>
          <w:kern w:val="0"/>
          <w:sz w:val="20"/>
          <w:szCs w:val="20"/>
          <w:lang w:eastAsia="en-GB"/>
          <w14:ligatures w14:val="none"/>
        </w:rPr>
        <w:t xml:space="preserve"> </w:t>
      </w:r>
      <w:hyperlink r:id="rId23" w:history="1">
        <w:r w:rsidR="00F6628E" w:rsidRPr="00CF2453">
          <w:rPr>
            <w:rStyle w:val="Hyperlink"/>
            <w:rFonts w:ascii="Arial" w:eastAsia="Times New Roman" w:hAnsi="Arial" w:cs="Arial"/>
            <w:color w:val="0000FF"/>
            <w:kern w:val="0"/>
            <w:sz w:val="20"/>
            <w:szCs w:val="20"/>
            <w:lang w:eastAsia="en-GB"/>
            <w14:ligatures w14:val="none"/>
          </w:rPr>
          <w:t>https://doi.org/10.1111/cen3.12765</w:t>
        </w:r>
      </w:hyperlink>
      <w:bookmarkEnd w:id="13"/>
      <w:r w:rsidR="00F6628E" w:rsidRPr="00CF2453">
        <w:rPr>
          <w:rFonts w:ascii="Arial" w:eastAsia="Times New Roman" w:hAnsi="Arial" w:cs="Arial"/>
          <w:color w:val="0000FF"/>
          <w:kern w:val="0"/>
          <w:sz w:val="20"/>
          <w:szCs w:val="20"/>
          <w:lang w:eastAsia="en-GB"/>
          <w14:ligatures w14:val="none"/>
        </w:rPr>
        <w:t xml:space="preserve"> </w:t>
      </w:r>
    </w:p>
    <w:p w14:paraId="6AD419B2" w14:textId="1F206082" w:rsidR="00947354"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4" w:name="_Ref229995427"/>
      <w:r w:rsidRPr="00947354">
        <w:rPr>
          <w:rFonts w:ascii="Arial" w:eastAsia="Times New Roman" w:hAnsi="Arial" w:cs="Arial"/>
          <w:color w:val="0F1115"/>
          <w:kern w:val="0"/>
          <w:sz w:val="20"/>
          <w:szCs w:val="20"/>
          <w:lang w:eastAsia="en-GB"/>
          <w14:ligatures w14:val="none"/>
        </w:rPr>
        <w:t>Boronat A, Gelfand JM, Gresa</w:t>
      </w:r>
      <w:r w:rsidRPr="00947354">
        <w:rPr>
          <w:rFonts w:ascii="Cambria Math" w:eastAsia="Times New Roman" w:hAnsi="Cambria Math" w:cs="Cambria Math"/>
          <w:color w:val="0F1115"/>
          <w:kern w:val="0"/>
          <w:sz w:val="20"/>
          <w:szCs w:val="20"/>
          <w:lang w:eastAsia="en-GB"/>
          <w14:ligatures w14:val="none"/>
        </w:rPr>
        <w:t>‐</w:t>
      </w:r>
      <w:r w:rsidRPr="00947354">
        <w:rPr>
          <w:rFonts w:ascii="Arial" w:eastAsia="Times New Roman" w:hAnsi="Arial" w:cs="Arial"/>
          <w:color w:val="0F1115"/>
          <w:kern w:val="0"/>
          <w:sz w:val="20"/>
          <w:szCs w:val="20"/>
          <w:lang w:eastAsia="en-GB"/>
          <w14:ligatures w14:val="none"/>
        </w:rPr>
        <w:t>Arribas N, Jeong HY, Walsh M, Roberts K, Martinez</w:t>
      </w:r>
      <w:r w:rsidRPr="00947354">
        <w:rPr>
          <w:rFonts w:ascii="Cambria Math" w:eastAsia="Times New Roman" w:hAnsi="Cambria Math" w:cs="Cambria Math"/>
          <w:color w:val="0F1115"/>
          <w:kern w:val="0"/>
          <w:sz w:val="20"/>
          <w:szCs w:val="20"/>
          <w:lang w:eastAsia="en-GB"/>
          <w14:ligatures w14:val="none"/>
        </w:rPr>
        <w:t>‐</w:t>
      </w:r>
      <w:r w:rsidRPr="00947354">
        <w:rPr>
          <w:rFonts w:ascii="Arial" w:eastAsia="Times New Roman" w:hAnsi="Arial" w:cs="Arial"/>
          <w:color w:val="0F1115"/>
          <w:kern w:val="0"/>
          <w:sz w:val="20"/>
          <w:szCs w:val="20"/>
          <w:lang w:eastAsia="en-GB"/>
          <w14:ligatures w14:val="none"/>
        </w:rPr>
        <w:t>Hernandez E, Rosenfeld MR, Balice</w:t>
      </w:r>
      <w:r w:rsidRPr="00947354">
        <w:rPr>
          <w:rFonts w:ascii="Cambria Math" w:eastAsia="Times New Roman" w:hAnsi="Cambria Math" w:cs="Cambria Math"/>
          <w:color w:val="0F1115"/>
          <w:kern w:val="0"/>
          <w:sz w:val="20"/>
          <w:szCs w:val="20"/>
          <w:lang w:eastAsia="en-GB"/>
          <w14:ligatures w14:val="none"/>
        </w:rPr>
        <w:t>‐</w:t>
      </w:r>
      <w:r w:rsidRPr="00947354">
        <w:rPr>
          <w:rFonts w:ascii="Arial" w:eastAsia="Times New Roman" w:hAnsi="Arial" w:cs="Arial"/>
          <w:color w:val="0F1115"/>
          <w:kern w:val="0"/>
          <w:sz w:val="20"/>
          <w:szCs w:val="20"/>
          <w:lang w:eastAsia="en-GB"/>
          <w14:ligatures w14:val="none"/>
        </w:rPr>
        <w:t>Gordon R, Graus F, Rudy B. Encephalitis and antibodies to dipeptidyl</w:t>
      </w:r>
      <w:r w:rsidRPr="00947354">
        <w:rPr>
          <w:rFonts w:ascii="Cambria Math" w:eastAsia="Times New Roman" w:hAnsi="Cambria Math" w:cs="Cambria Math"/>
          <w:color w:val="0F1115"/>
          <w:kern w:val="0"/>
          <w:sz w:val="20"/>
          <w:szCs w:val="20"/>
          <w:lang w:eastAsia="en-GB"/>
          <w14:ligatures w14:val="none"/>
        </w:rPr>
        <w:t>‐</w:t>
      </w:r>
      <w:r w:rsidRPr="00947354">
        <w:rPr>
          <w:rFonts w:ascii="Arial" w:eastAsia="Times New Roman" w:hAnsi="Arial" w:cs="Arial"/>
          <w:color w:val="0F1115"/>
          <w:kern w:val="0"/>
          <w:sz w:val="20"/>
          <w:szCs w:val="20"/>
          <w:lang w:eastAsia="en-GB"/>
          <w14:ligatures w14:val="none"/>
        </w:rPr>
        <w:t>peptidase–like protein</w:t>
      </w:r>
      <w:r w:rsidRPr="00947354">
        <w:rPr>
          <w:rFonts w:ascii="Cambria Math" w:eastAsia="Times New Roman" w:hAnsi="Cambria Math" w:cs="Cambria Math"/>
          <w:color w:val="0F1115"/>
          <w:kern w:val="0"/>
          <w:sz w:val="20"/>
          <w:szCs w:val="20"/>
          <w:lang w:eastAsia="en-GB"/>
          <w14:ligatures w14:val="none"/>
        </w:rPr>
        <w:t>‐</w:t>
      </w:r>
      <w:r w:rsidRPr="00947354">
        <w:rPr>
          <w:rFonts w:ascii="Arial" w:eastAsia="Times New Roman" w:hAnsi="Arial" w:cs="Arial"/>
          <w:color w:val="0F1115"/>
          <w:kern w:val="0"/>
          <w:sz w:val="20"/>
          <w:szCs w:val="20"/>
          <w:lang w:eastAsia="en-GB"/>
          <w14:ligatures w14:val="none"/>
        </w:rPr>
        <w:t xml:space="preserve">6, a subunit of Kv4. 2 potassium channels. Annals of </w:t>
      </w:r>
      <w:r w:rsidR="00CF2453">
        <w:rPr>
          <w:rFonts w:ascii="Arial" w:eastAsia="Times New Roman" w:hAnsi="Arial" w:cs="Arial"/>
          <w:color w:val="0F1115"/>
          <w:kern w:val="0"/>
          <w:sz w:val="20"/>
          <w:szCs w:val="20"/>
          <w:lang w:eastAsia="en-GB"/>
          <w14:ligatures w14:val="none"/>
        </w:rPr>
        <w:t>N</w:t>
      </w:r>
      <w:r w:rsidRPr="00947354">
        <w:rPr>
          <w:rFonts w:ascii="Arial" w:eastAsia="Times New Roman" w:hAnsi="Arial" w:cs="Arial"/>
          <w:color w:val="0F1115"/>
          <w:kern w:val="0"/>
          <w:sz w:val="20"/>
          <w:szCs w:val="20"/>
          <w:lang w:eastAsia="en-GB"/>
          <w14:ligatures w14:val="none"/>
        </w:rPr>
        <w:t>eurology. 2013 Jan;73(1):120-8.</w:t>
      </w:r>
      <w:r w:rsidR="00F6628E">
        <w:rPr>
          <w:rFonts w:ascii="Arial" w:eastAsia="Times New Roman" w:hAnsi="Arial" w:cs="Arial"/>
          <w:color w:val="0F1115"/>
          <w:kern w:val="0"/>
          <w:sz w:val="20"/>
          <w:szCs w:val="20"/>
          <w:lang w:eastAsia="en-GB"/>
          <w14:ligatures w14:val="none"/>
        </w:rPr>
        <w:t xml:space="preserve"> </w:t>
      </w:r>
      <w:hyperlink r:id="rId24" w:history="1">
        <w:r w:rsidR="00F6628E" w:rsidRPr="00CF2453">
          <w:rPr>
            <w:rStyle w:val="Hyperlink"/>
            <w:rFonts w:ascii="Arial" w:eastAsia="Times New Roman" w:hAnsi="Arial" w:cs="Arial"/>
            <w:color w:val="0000FF"/>
            <w:kern w:val="0"/>
            <w:sz w:val="20"/>
            <w:szCs w:val="20"/>
            <w:lang w:eastAsia="en-GB"/>
            <w14:ligatures w14:val="none"/>
          </w:rPr>
          <w:t>https://doi.org/10.1002/ana.23756</w:t>
        </w:r>
      </w:hyperlink>
      <w:bookmarkEnd w:id="14"/>
      <w:r w:rsidR="00F6628E" w:rsidRPr="00CF2453">
        <w:rPr>
          <w:rFonts w:ascii="Arial" w:eastAsia="Times New Roman" w:hAnsi="Arial" w:cs="Arial"/>
          <w:color w:val="0000FF"/>
          <w:kern w:val="0"/>
          <w:sz w:val="20"/>
          <w:szCs w:val="20"/>
          <w:lang w:eastAsia="en-GB"/>
          <w14:ligatures w14:val="none"/>
        </w:rPr>
        <w:t xml:space="preserve"> </w:t>
      </w:r>
    </w:p>
    <w:p w14:paraId="4A79245C" w14:textId="34FD754B" w:rsidR="00947354" w:rsidRPr="00CF2453"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5" w:name="_Ref229995437"/>
      <w:r w:rsidRPr="00947354">
        <w:rPr>
          <w:rFonts w:ascii="Arial" w:eastAsia="Times New Roman" w:hAnsi="Arial" w:cs="Arial"/>
          <w:color w:val="0F1115"/>
          <w:kern w:val="0"/>
          <w:sz w:val="20"/>
          <w:szCs w:val="20"/>
          <w:lang w:eastAsia="en-GB"/>
          <w14:ligatures w14:val="none"/>
        </w:rPr>
        <w:t xml:space="preserve">Jerng HH, Qian Y, Pfaffinger PJ. Modulation of Kv4. 2 channel expression and gating by dipeptidyl peptidase 10 (DPP10). Biophysical </w:t>
      </w:r>
      <w:r w:rsidR="00CF2453">
        <w:rPr>
          <w:rFonts w:ascii="Arial" w:eastAsia="Times New Roman" w:hAnsi="Arial" w:cs="Arial"/>
          <w:color w:val="0F1115"/>
          <w:kern w:val="0"/>
          <w:sz w:val="20"/>
          <w:szCs w:val="20"/>
          <w:lang w:eastAsia="en-GB"/>
          <w14:ligatures w14:val="none"/>
        </w:rPr>
        <w:t>J</w:t>
      </w:r>
      <w:r w:rsidRPr="00947354">
        <w:rPr>
          <w:rFonts w:ascii="Arial" w:eastAsia="Times New Roman" w:hAnsi="Arial" w:cs="Arial"/>
          <w:color w:val="0F1115"/>
          <w:kern w:val="0"/>
          <w:sz w:val="20"/>
          <w:szCs w:val="20"/>
          <w:lang w:eastAsia="en-GB"/>
          <w14:ligatures w14:val="none"/>
        </w:rPr>
        <w:t>ournal. 2004 Oct 1;87(4):2380-96.</w:t>
      </w:r>
      <w:r w:rsidR="00F6628E">
        <w:rPr>
          <w:rFonts w:ascii="Arial" w:eastAsia="Times New Roman" w:hAnsi="Arial" w:cs="Arial"/>
          <w:color w:val="0F1115"/>
          <w:kern w:val="0"/>
          <w:sz w:val="20"/>
          <w:szCs w:val="20"/>
          <w:lang w:eastAsia="en-GB"/>
          <w14:ligatures w14:val="none"/>
        </w:rPr>
        <w:t xml:space="preserve"> </w:t>
      </w:r>
      <w:hyperlink r:id="rId25" w:history="1">
        <w:r w:rsidR="00F6628E" w:rsidRPr="00CF2453">
          <w:rPr>
            <w:rStyle w:val="Hyperlink"/>
            <w:rFonts w:ascii="Arial" w:eastAsia="Times New Roman" w:hAnsi="Arial" w:cs="Arial"/>
            <w:color w:val="0000FF"/>
            <w:kern w:val="0"/>
            <w:sz w:val="20"/>
            <w:szCs w:val="20"/>
            <w:lang w:eastAsia="en-GB"/>
            <w14:ligatures w14:val="none"/>
          </w:rPr>
          <w:t>https://doi.org/10.1529/biophysj.104.042358</w:t>
        </w:r>
      </w:hyperlink>
      <w:bookmarkEnd w:id="15"/>
      <w:r w:rsidR="00F6628E" w:rsidRPr="00CF2453">
        <w:rPr>
          <w:rFonts w:ascii="Arial" w:eastAsia="Times New Roman" w:hAnsi="Arial" w:cs="Arial"/>
          <w:color w:val="0000FF"/>
          <w:kern w:val="0"/>
          <w:sz w:val="20"/>
          <w:szCs w:val="20"/>
          <w:lang w:eastAsia="en-GB"/>
          <w14:ligatures w14:val="none"/>
        </w:rPr>
        <w:t xml:space="preserve"> </w:t>
      </w:r>
    </w:p>
    <w:p w14:paraId="73FFF3DF" w14:textId="03516A02" w:rsidR="00947354"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6" w:name="_Ref229995444"/>
      <w:r w:rsidRPr="00947354">
        <w:rPr>
          <w:rFonts w:ascii="Arial" w:eastAsia="Times New Roman" w:hAnsi="Arial" w:cs="Arial"/>
          <w:color w:val="0F1115"/>
          <w:kern w:val="0"/>
          <w:sz w:val="20"/>
          <w:szCs w:val="20"/>
          <w:lang w:eastAsia="en-GB"/>
          <w14:ligatures w14:val="none"/>
        </w:rPr>
        <w:t xml:space="preserve">Clark BD, Kwon E, Maffie J, Jeong HY, Nadal M, Strop P, Rudy B. DPP6 localization in brain supports function as a Kv4 channel associated protein. Frontiers in </w:t>
      </w:r>
      <w:r w:rsidR="00CF2453">
        <w:rPr>
          <w:rFonts w:ascii="Arial" w:eastAsia="Times New Roman" w:hAnsi="Arial" w:cs="Arial"/>
          <w:color w:val="0F1115"/>
          <w:kern w:val="0"/>
          <w:sz w:val="20"/>
          <w:szCs w:val="20"/>
          <w:lang w:eastAsia="en-GB"/>
          <w14:ligatures w14:val="none"/>
        </w:rPr>
        <w:t>M</w:t>
      </w:r>
      <w:r w:rsidRPr="00947354">
        <w:rPr>
          <w:rFonts w:ascii="Arial" w:eastAsia="Times New Roman" w:hAnsi="Arial" w:cs="Arial"/>
          <w:color w:val="0F1115"/>
          <w:kern w:val="0"/>
          <w:sz w:val="20"/>
          <w:szCs w:val="20"/>
          <w:lang w:eastAsia="en-GB"/>
          <w14:ligatures w14:val="none"/>
        </w:rPr>
        <w:t xml:space="preserve">olecular </w:t>
      </w:r>
      <w:r w:rsidR="00CF2453">
        <w:rPr>
          <w:rFonts w:ascii="Arial" w:eastAsia="Times New Roman" w:hAnsi="Arial" w:cs="Arial"/>
          <w:color w:val="0F1115"/>
          <w:kern w:val="0"/>
          <w:sz w:val="20"/>
          <w:szCs w:val="20"/>
          <w:lang w:eastAsia="en-GB"/>
          <w14:ligatures w14:val="none"/>
        </w:rPr>
        <w:t>N</w:t>
      </w:r>
      <w:r w:rsidRPr="00947354">
        <w:rPr>
          <w:rFonts w:ascii="Arial" w:eastAsia="Times New Roman" w:hAnsi="Arial" w:cs="Arial"/>
          <w:color w:val="0F1115"/>
          <w:kern w:val="0"/>
          <w:sz w:val="20"/>
          <w:szCs w:val="20"/>
          <w:lang w:eastAsia="en-GB"/>
          <w14:ligatures w14:val="none"/>
        </w:rPr>
        <w:t>euroscience. 2008 Oct 23;1:331.</w:t>
      </w:r>
      <w:r w:rsidR="00F6628E">
        <w:rPr>
          <w:rFonts w:ascii="Arial" w:eastAsia="Times New Roman" w:hAnsi="Arial" w:cs="Arial"/>
          <w:color w:val="0F1115"/>
          <w:kern w:val="0"/>
          <w:sz w:val="20"/>
          <w:szCs w:val="20"/>
          <w:lang w:eastAsia="en-GB"/>
          <w14:ligatures w14:val="none"/>
        </w:rPr>
        <w:t xml:space="preserve"> </w:t>
      </w:r>
      <w:hyperlink r:id="rId26" w:history="1">
        <w:r w:rsidR="00F6628E" w:rsidRPr="00CF2453">
          <w:rPr>
            <w:rStyle w:val="Hyperlink"/>
            <w:rFonts w:ascii="Arial" w:eastAsia="Times New Roman" w:hAnsi="Arial" w:cs="Arial"/>
            <w:color w:val="0000FF"/>
            <w:kern w:val="0"/>
            <w:sz w:val="20"/>
            <w:szCs w:val="20"/>
            <w:lang w:eastAsia="en-GB"/>
            <w14:ligatures w14:val="none"/>
          </w:rPr>
          <w:t>https://doi.org/10.3389/neuro.02.008.2008</w:t>
        </w:r>
      </w:hyperlink>
      <w:bookmarkEnd w:id="16"/>
      <w:r w:rsidR="00F6628E" w:rsidRPr="00CF2453">
        <w:rPr>
          <w:rFonts w:ascii="Arial" w:eastAsia="Times New Roman" w:hAnsi="Arial" w:cs="Arial"/>
          <w:color w:val="0000FF"/>
          <w:kern w:val="0"/>
          <w:sz w:val="20"/>
          <w:szCs w:val="20"/>
          <w:lang w:eastAsia="en-GB"/>
          <w14:ligatures w14:val="none"/>
        </w:rPr>
        <w:t xml:space="preserve"> </w:t>
      </w:r>
    </w:p>
    <w:p w14:paraId="1436478E" w14:textId="263E761F" w:rsidR="00947354" w:rsidRPr="00CF2453"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17" w:name="_Ref229995454"/>
      <w:r w:rsidRPr="00947354">
        <w:rPr>
          <w:rFonts w:ascii="Arial" w:eastAsia="Times New Roman" w:hAnsi="Arial" w:cs="Arial"/>
          <w:color w:val="0F1115"/>
          <w:kern w:val="0"/>
          <w:sz w:val="20"/>
          <w:szCs w:val="20"/>
          <w:lang w:eastAsia="en-GB"/>
          <w14:ligatures w14:val="none"/>
        </w:rPr>
        <w:t xml:space="preserve">Kim J, Nadal MS, Clemens AM, Baron M, Jung SC, Misumi Y, Rudy B, Hoffman DA. Kv4 accessory protein DPPX (DPP6) is a critical regulator of membrane excitability in hippocampal CA1 pyramidal neurons. Journal of </w:t>
      </w:r>
      <w:r w:rsidR="00CF2453">
        <w:rPr>
          <w:rFonts w:ascii="Arial" w:eastAsia="Times New Roman" w:hAnsi="Arial" w:cs="Arial"/>
          <w:color w:val="0F1115"/>
          <w:kern w:val="0"/>
          <w:sz w:val="20"/>
          <w:szCs w:val="20"/>
          <w:lang w:eastAsia="en-GB"/>
          <w14:ligatures w14:val="none"/>
        </w:rPr>
        <w:t>N</w:t>
      </w:r>
      <w:r w:rsidRPr="00947354">
        <w:rPr>
          <w:rFonts w:ascii="Arial" w:eastAsia="Times New Roman" w:hAnsi="Arial" w:cs="Arial"/>
          <w:color w:val="0F1115"/>
          <w:kern w:val="0"/>
          <w:sz w:val="20"/>
          <w:szCs w:val="20"/>
          <w:lang w:eastAsia="en-GB"/>
          <w14:ligatures w14:val="none"/>
        </w:rPr>
        <w:t>europhysiology. 2008 Oct;100(4):1835-47.</w:t>
      </w:r>
      <w:r w:rsidR="00F6628E">
        <w:rPr>
          <w:rFonts w:ascii="Arial" w:eastAsia="Times New Roman" w:hAnsi="Arial" w:cs="Arial"/>
          <w:color w:val="0F1115"/>
          <w:kern w:val="0"/>
          <w:sz w:val="20"/>
          <w:szCs w:val="20"/>
          <w:lang w:eastAsia="en-GB"/>
          <w14:ligatures w14:val="none"/>
        </w:rPr>
        <w:t xml:space="preserve"> </w:t>
      </w:r>
      <w:hyperlink r:id="rId27" w:history="1">
        <w:r w:rsidR="00F6628E" w:rsidRPr="00CF2453">
          <w:rPr>
            <w:rStyle w:val="Hyperlink"/>
            <w:rFonts w:ascii="Arial" w:eastAsia="Times New Roman" w:hAnsi="Arial" w:cs="Arial"/>
            <w:color w:val="0000FF"/>
            <w:kern w:val="0"/>
            <w:sz w:val="20"/>
            <w:szCs w:val="20"/>
            <w:lang w:eastAsia="en-GB"/>
            <w14:ligatures w14:val="none"/>
          </w:rPr>
          <w:t>https://doi.org/10.1152/jn.90261.2008</w:t>
        </w:r>
      </w:hyperlink>
      <w:bookmarkEnd w:id="17"/>
      <w:r w:rsidR="00F6628E" w:rsidRPr="00CF2453">
        <w:rPr>
          <w:rFonts w:ascii="Arial" w:eastAsia="Times New Roman" w:hAnsi="Arial" w:cs="Arial"/>
          <w:color w:val="0000FF"/>
          <w:kern w:val="0"/>
          <w:sz w:val="20"/>
          <w:szCs w:val="20"/>
          <w:lang w:eastAsia="en-GB"/>
          <w14:ligatures w14:val="none"/>
        </w:rPr>
        <w:t xml:space="preserve"> </w:t>
      </w:r>
    </w:p>
    <w:p w14:paraId="408FCCAE" w14:textId="539FBEA4" w:rsidR="00947354" w:rsidRDefault="00947354"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8" w:name="_Ref229995460"/>
      <w:r w:rsidRPr="00947354">
        <w:rPr>
          <w:rFonts w:ascii="Arial" w:eastAsia="Times New Roman" w:hAnsi="Arial" w:cs="Arial"/>
          <w:color w:val="0F1115"/>
          <w:kern w:val="0"/>
          <w:sz w:val="20"/>
          <w:szCs w:val="20"/>
          <w:lang w:eastAsia="en-GB"/>
          <w14:ligatures w14:val="none"/>
        </w:rPr>
        <w:t xml:space="preserve">Gao Y, Zhang Y, Chunyu H, Xu Y, Wang Y, Liu S, Chang J, Tang B, Xu C, Lu Y, Zhou J. Expanding the clinical spectrum of anti-DPPX encephalitis: a multicenter retrospective study. Frontiers in Neuroscience. 2024 May </w:t>
      </w:r>
      <w:r w:rsidRPr="00947354">
        <w:rPr>
          <w:rFonts w:ascii="Arial" w:eastAsia="Times New Roman" w:hAnsi="Arial" w:cs="Arial"/>
          <w:color w:val="0F1115"/>
          <w:kern w:val="0"/>
          <w:sz w:val="20"/>
          <w:szCs w:val="20"/>
          <w:lang w:eastAsia="en-GB"/>
          <w14:ligatures w14:val="none"/>
        </w:rPr>
        <w:lastRenderedPageBreak/>
        <w:t>2;18:1379933.</w:t>
      </w:r>
      <w:r w:rsidR="00F6628E">
        <w:rPr>
          <w:rFonts w:ascii="Arial" w:eastAsia="Times New Roman" w:hAnsi="Arial" w:cs="Arial"/>
          <w:color w:val="0F1115"/>
          <w:kern w:val="0"/>
          <w:sz w:val="20"/>
          <w:szCs w:val="20"/>
          <w:lang w:eastAsia="en-GB"/>
          <w14:ligatures w14:val="none"/>
        </w:rPr>
        <w:t xml:space="preserve"> </w:t>
      </w:r>
      <w:hyperlink r:id="rId28" w:history="1">
        <w:r w:rsidR="00F6628E" w:rsidRPr="00CF2453">
          <w:rPr>
            <w:rStyle w:val="Hyperlink"/>
            <w:rFonts w:ascii="Arial" w:eastAsia="Times New Roman" w:hAnsi="Arial" w:cs="Arial"/>
            <w:color w:val="0000FF"/>
            <w:kern w:val="0"/>
            <w:sz w:val="20"/>
            <w:szCs w:val="20"/>
            <w:lang w:eastAsia="en-GB"/>
            <w14:ligatures w14:val="none"/>
          </w:rPr>
          <w:t>https://doi.org/10.3389/fnins.2024.1379933</w:t>
        </w:r>
      </w:hyperlink>
      <w:bookmarkEnd w:id="18"/>
      <w:r w:rsidR="00F6628E" w:rsidRPr="00CF2453">
        <w:rPr>
          <w:rFonts w:ascii="Arial" w:eastAsia="Times New Roman" w:hAnsi="Arial" w:cs="Arial"/>
          <w:color w:val="0000FF"/>
          <w:kern w:val="0"/>
          <w:sz w:val="20"/>
          <w:szCs w:val="20"/>
          <w:lang w:eastAsia="en-GB"/>
          <w14:ligatures w14:val="none"/>
        </w:rPr>
        <w:t xml:space="preserve"> </w:t>
      </w:r>
    </w:p>
    <w:p w14:paraId="634C7696" w14:textId="77777777" w:rsidR="00C24FA9" w:rsidRDefault="00C24FA9" w:rsidP="00C24FA9">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9" w:name="_Ref229996402"/>
      <w:bookmarkStart w:id="20" w:name="_Ref229995466"/>
      <w:r w:rsidRPr="0013141D">
        <w:rPr>
          <w:rFonts w:ascii="Arial" w:eastAsia="Times New Roman" w:hAnsi="Arial" w:cs="Arial"/>
          <w:color w:val="0F1115"/>
          <w:kern w:val="0"/>
          <w:sz w:val="20"/>
          <w:szCs w:val="20"/>
          <w:lang w:eastAsia="en-GB"/>
          <w14:ligatures w14:val="none"/>
        </w:rPr>
        <w:t>Gao K, Lin Z, Wen S, Jiang Y. Potassium channels and epilepsy. Acta Neurologica Scandinavica. 2022 Dec;146(6):699-707.</w:t>
      </w:r>
      <w:r>
        <w:rPr>
          <w:rFonts w:ascii="Arial" w:eastAsia="Times New Roman" w:hAnsi="Arial" w:cs="Arial"/>
          <w:color w:val="0F1115"/>
          <w:kern w:val="0"/>
          <w:sz w:val="20"/>
          <w:szCs w:val="20"/>
          <w:lang w:eastAsia="en-GB"/>
          <w14:ligatures w14:val="none"/>
        </w:rPr>
        <w:t xml:space="preserve"> </w:t>
      </w:r>
      <w:hyperlink r:id="rId29" w:history="1">
        <w:r w:rsidRPr="00CF2453">
          <w:rPr>
            <w:rStyle w:val="Hyperlink"/>
            <w:rFonts w:ascii="Arial" w:eastAsia="Times New Roman" w:hAnsi="Arial" w:cs="Arial"/>
            <w:color w:val="0000FF"/>
            <w:kern w:val="0"/>
            <w:sz w:val="20"/>
            <w:szCs w:val="20"/>
            <w:lang w:eastAsia="en-GB"/>
            <w14:ligatures w14:val="none"/>
          </w:rPr>
          <w:t>https://doi.org/10.1111/ane.13695</w:t>
        </w:r>
      </w:hyperlink>
      <w:bookmarkEnd w:id="19"/>
      <w:r w:rsidRPr="00CF2453">
        <w:rPr>
          <w:rFonts w:ascii="Arial" w:eastAsia="Times New Roman" w:hAnsi="Arial" w:cs="Arial"/>
          <w:color w:val="0000FF"/>
          <w:kern w:val="0"/>
          <w:sz w:val="20"/>
          <w:szCs w:val="20"/>
          <w:lang w:eastAsia="en-GB"/>
          <w14:ligatures w14:val="none"/>
        </w:rPr>
        <w:t xml:space="preserve"> </w:t>
      </w:r>
    </w:p>
    <w:p w14:paraId="55B6D0CA" w14:textId="77777777" w:rsidR="00C24FA9" w:rsidRPr="00CF2453" w:rsidRDefault="00C24FA9" w:rsidP="00C24FA9">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1" w:name="_Ref229996408"/>
      <w:bookmarkStart w:id="22" w:name="_Ref229995485"/>
      <w:bookmarkEnd w:id="20"/>
      <w:r w:rsidRPr="0013141D">
        <w:rPr>
          <w:rFonts w:ascii="Arial" w:eastAsia="Times New Roman" w:hAnsi="Arial" w:cs="Arial"/>
          <w:color w:val="0F1115"/>
          <w:kern w:val="0"/>
          <w:sz w:val="20"/>
          <w:szCs w:val="20"/>
          <w:lang w:eastAsia="en-GB"/>
          <w14:ligatures w14:val="none"/>
        </w:rPr>
        <w:t xml:space="preserve">Chen TS, Lai MC, Huang HY, Wu SN, Huang CW. Immunity, ion channels and epilepsy. International </w:t>
      </w:r>
      <w:r>
        <w:rPr>
          <w:rFonts w:ascii="Arial" w:eastAsia="Times New Roman" w:hAnsi="Arial" w:cs="Arial"/>
          <w:color w:val="0F1115"/>
          <w:kern w:val="0"/>
          <w:sz w:val="20"/>
          <w:szCs w:val="20"/>
          <w:lang w:eastAsia="en-GB"/>
          <w14:ligatures w14:val="none"/>
        </w:rPr>
        <w:t>J</w:t>
      </w:r>
      <w:r w:rsidRPr="0013141D">
        <w:rPr>
          <w:rFonts w:ascii="Arial" w:eastAsia="Times New Roman" w:hAnsi="Arial" w:cs="Arial"/>
          <w:color w:val="0F1115"/>
          <w:kern w:val="0"/>
          <w:sz w:val="20"/>
          <w:szCs w:val="20"/>
          <w:lang w:eastAsia="en-GB"/>
          <w14:ligatures w14:val="none"/>
        </w:rPr>
        <w:t xml:space="preserve">ournal of </w:t>
      </w:r>
      <w:r>
        <w:rPr>
          <w:rFonts w:ascii="Arial" w:eastAsia="Times New Roman" w:hAnsi="Arial" w:cs="Arial"/>
          <w:color w:val="0F1115"/>
          <w:kern w:val="0"/>
          <w:sz w:val="20"/>
          <w:szCs w:val="20"/>
          <w:lang w:eastAsia="en-GB"/>
          <w14:ligatures w14:val="none"/>
        </w:rPr>
        <w:t>M</w:t>
      </w:r>
      <w:r w:rsidRPr="0013141D">
        <w:rPr>
          <w:rFonts w:ascii="Arial" w:eastAsia="Times New Roman" w:hAnsi="Arial" w:cs="Arial"/>
          <w:color w:val="0F1115"/>
          <w:kern w:val="0"/>
          <w:sz w:val="20"/>
          <w:szCs w:val="20"/>
          <w:lang w:eastAsia="en-GB"/>
          <w14:ligatures w14:val="none"/>
        </w:rPr>
        <w:t xml:space="preserve">olecular </w:t>
      </w:r>
      <w:r>
        <w:rPr>
          <w:rFonts w:ascii="Arial" w:eastAsia="Times New Roman" w:hAnsi="Arial" w:cs="Arial"/>
          <w:color w:val="0F1115"/>
          <w:kern w:val="0"/>
          <w:sz w:val="20"/>
          <w:szCs w:val="20"/>
          <w:lang w:eastAsia="en-GB"/>
          <w14:ligatures w14:val="none"/>
        </w:rPr>
        <w:t>S</w:t>
      </w:r>
      <w:r w:rsidRPr="0013141D">
        <w:rPr>
          <w:rFonts w:ascii="Arial" w:eastAsia="Times New Roman" w:hAnsi="Arial" w:cs="Arial"/>
          <w:color w:val="0F1115"/>
          <w:kern w:val="0"/>
          <w:sz w:val="20"/>
          <w:szCs w:val="20"/>
          <w:lang w:eastAsia="en-GB"/>
          <w14:ligatures w14:val="none"/>
        </w:rPr>
        <w:t>ciences. 2022 Jun 9;23(12):6446.</w:t>
      </w:r>
      <w:r>
        <w:rPr>
          <w:rFonts w:ascii="Arial" w:eastAsia="Times New Roman" w:hAnsi="Arial" w:cs="Arial"/>
          <w:color w:val="0F1115"/>
          <w:kern w:val="0"/>
          <w:sz w:val="20"/>
          <w:szCs w:val="20"/>
          <w:lang w:eastAsia="en-GB"/>
          <w14:ligatures w14:val="none"/>
        </w:rPr>
        <w:t xml:space="preserve"> </w:t>
      </w:r>
      <w:hyperlink r:id="rId30" w:history="1">
        <w:r w:rsidRPr="00CF2453">
          <w:rPr>
            <w:rStyle w:val="Hyperlink"/>
            <w:rFonts w:ascii="Arial" w:eastAsia="Times New Roman" w:hAnsi="Arial" w:cs="Arial"/>
            <w:color w:val="0000FF"/>
            <w:kern w:val="0"/>
            <w:sz w:val="20"/>
            <w:szCs w:val="20"/>
            <w:lang w:eastAsia="en-GB"/>
            <w14:ligatures w14:val="none"/>
          </w:rPr>
          <w:t>https://doi.org/10.3390/ijms23126446</w:t>
        </w:r>
      </w:hyperlink>
      <w:bookmarkEnd w:id="21"/>
      <w:r w:rsidRPr="00CF2453">
        <w:rPr>
          <w:rFonts w:ascii="Arial" w:eastAsia="Times New Roman" w:hAnsi="Arial" w:cs="Arial"/>
          <w:color w:val="0000FF"/>
          <w:kern w:val="0"/>
          <w:sz w:val="20"/>
          <w:szCs w:val="20"/>
          <w:lang w:eastAsia="en-GB"/>
          <w14:ligatures w14:val="none"/>
        </w:rPr>
        <w:t xml:space="preserve"> </w:t>
      </w:r>
    </w:p>
    <w:p w14:paraId="1F7474DC" w14:textId="4D605952" w:rsidR="0013141D" w:rsidRPr="00CF2453" w:rsidRDefault="0013141D"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3" w:name="_Ref229996457"/>
      <w:r w:rsidRPr="0013141D">
        <w:rPr>
          <w:rFonts w:ascii="Arial" w:eastAsia="Times New Roman" w:hAnsi="Arial" w:cs="Arial"/>
          <w:color w:val="0F1115"/>
          <w:kern w:val="0"/>
          <w:sz w:val="20"/>
          <w:szCs w:val="20"/>
          <w:lang w:eastAsia="en-GB"/>
          <w14:ligatures w14:val="none"/>
        </w:rPr>
        <w:t>Kirmani BF, Au K, Mir S, Hogan M, Kim D, Sharma P. Biomarkers for epileptogenesis in patients with autoimmune epilepsy. Neuroimmunology and Neuroinflammation. 2021 Jun 21;8(2):81-100.</w:t>
      </w:r>
      <w:r w:rsidR="00F6628E">
        <w:rPr>
          <w:rFonts w:ascii="Arial" w:eastAsia="Times New Roman" w:hAnsi="Arial" w:cs="Arial"/>
          <w:color w:val="0F1115"/>
          <w:kern w:val="0"/>
          <w:sz w:val="20"/>
          <w:szCs w:val="20"/>
          <w:lang w:eastAsia="en-GB"/>
          <w14:ligatures w14:val="none"/>
        </w:rPr>
        <w:t xml:space="preserve"> </w:t>
      </w:r>
      <w:hyperlink r:id="rId31" w:history="1">
        <w:r w:rsidR="00F6628E" w:rsidRPr="00CF2453">
          <w:rPr>
            <w:rStyle w:val="Hyperlink"/>
            <w:rFonts w:ascii="Arial" w:eastAsia="Times New Roman" w:hAnsi="Arial" w:cs="Arial"/>
            <w:color w:val="0000FF"/>
            <w:kern w:val="0"/>
            <w:sz w:val="20"/>
            <w:szCs w:val="20"/>
            <w:lang w:eastAsia="en-GB"/>
            <w14:ligatures w14:val="none"/>
          </w:rPr>
          <w:t>https://doi.org/10.20517/2347-8659.2020.29</w:t>
        </w:r>
      </w:hyperlink>
      <w:bookmarkEnd w:id="22"/>
      <w:bookmarkEnd w:id="23"/>
      <w:r w:rsidR="00F6628E" w:rsidRPr="00CF2453">
        <w:rPr>
          <w:rFonts w:ascii="Arial" w:eastAsia="Times New Roman" w:hAnsi="Arial" w:cs="Arial"/>
          <w:color w:val="0000FF"/>
          <w:kern w:val="0"/>
          <w:sz w:val="20"/>
          <w:szCs w:val="20"/>
          <w:lang w:eastAsia="en-GB"/>
          <w14:ligatures w14:val="none"/>
        </w:rPr>
        <w:t xml:space="preserve"> </w:t>
      </w:r>
    </w:p>
    <w:p w14:paraId="495F931D" w14:textId="77777777" w:rsidR="00C24FA9" w:rsidRDefault="00C24FA9" w:rsidP="00C24FA9">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4" w:name="_Ref229996469"/>
      <w:r w:rsidRPr="00947354">
        <w:rPr>
          <w:rFonts w:ascii="Arial" w:eastAsia="Times New Roman" w:hAnsi="Arial" w:cs="Arial"/>
          <w:color w:val="0F1115"/>
          <w:kern w:val="0"/>
          <w:sz w:val="20"/>
          <w:szCs w:val="20"/>
          <w:lang w:eastAsia="en-GB"/>
          <w14:ligatures w14:val="none"/>
        </w:rPr>
        <w:t>Piepgras J, Höltje M, Michel K, Li Q, Otto C, Drenckhahn C, Probst C, Schemann M, Jarius S, Stöcker W, Balint B. Anti-DPPX encephalitis: pathogenic effects of antibodies on gut and brain neurons. Neurology. 2015 Sep 8;85(10):890-7.</w:t>
      </w:r>
      <w:r>
        <w:rPr>
          <w:rFonts w:ascii="Arial" w:eastAsia="Times New Roman" w:hAnsi="Arial" w:cs="Arial"/>
          <w:color w:val="0F1115"/>
          <w:kern w:val="0"/>
          <w:sz w:val="20"/>
          <w:szCs w:val="20"/>
          <w:lang w:eastAsia="en-GB"/>
          <w14:ligatures w14:val="none"/>
        </w:rPr>
        <w:t xml:space="preserve"> </w:t>
      </w:r>
      <w:hyperlink r:id="rId32" w:history="1">
        <w:r w:rsidRPr="00CF2453">
          <w:rPr>
            <w:rStyle w:val="Hyperlink"/>
            <w:rFonts w:ascii="Arial" w:eastAsia="Times New Roman" w:hAnsi="Arial" w:cs="Arial"/>
            <w:color w:val="0000FF"/>
            <w:kern w:val="0"/>
            <w:sz w:val="20"/>
            <w:szCs w:val="20"/>
            <w:lang w:eastAsia="en-GB"/>
            <w14:ligatures w14:val="none"/>
          </w:rPr>
          <w:t>https://doi.org/10.1212/WNL.0000000000001907</w:t>
        </w:r>
      </w:hyperlink>
      <w:bookmarkEnd w:id="24"/>
      <w:r w:rsidRPr="00CF2453">
        <w:rPr>
          <w:rFonts w:ascii="Arial" w:eastAsia="Times New Roman" w:hAnsi="Arial" w:cs="Arial"/>
          <w:color w:val="0000FF"/>
          <w:kern w:val="0"/>
          <w:sz w:val="20"/>
          <w:szCs w:val="20"/>
          <w:lang w:eastAsia="en-GB"/>
          <w14:ligatures w14:val="none"/>
        </w:rPr>
        <w:t xml:space="preserve"> </w:t>
      </w:r>
    </w:p>
    <w:p w14:paraId="29C45618" w14:textId="77777777" w:rsidR="00C24FA9" w:rsidRPr="00CF2453" w:rsidRDefault="00C24FA9" w:rsidP="00C24FA9">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5" w:name="_Ref229996482"/>
      <w:r w:rsidRPr="00947354">
        <w:rPr>
          <w:rFonts w:ascii="Arial" w:eastAsia="Times New Roman" w:hAnsi="Arial" w:cs="Arial"/>
          <w:color w:val="0F1115"/>
          <w:kern w:val="0"/>
          <w:sz w:val="20"/>
          <w:szCs w:val="20"/>
          <w:lang w:eastAsia="en-GB"/>
          <w14:ligatures w14:val="none"/>
        </w:rPr>
        <w:t>Hara M, Ariño H, Petit-Pedrol M, Sabater L, Titulaer MJ, Martinez-Hernandez E, Schreurs MW, Rosenfeld MR, Graus F, Dalmau J. DPPX antibody–associated encephalitis: main syndrome and antibody effects. Neurology. 2017 Apr 4;88(14):1340-8.</w:t>
      </w:r>
      <w:r>
        <w:rPr>
          <w:rFonts w:ascii="Arial" w:eastAsia="Times New Roman" w:hAnsi="Arial" w:cs="Arial"/>
          <w:color w:val="0F1115"/>
          <w:kern w:val="0"/>
          <w:sz w:val="20"/>
          <w:szCs w:val="20"/>
          <w:lang w:eastAsia="en-GB"/>
          <w14:ligatures w14:val="none"/>
        </w:rPr>
        <w:t xml:space="preserve"> </w:t>
      </w:r>
      <w:hyperlink r:id="rId33" w:history="1">
        <w:r w:rsidRPr="00CF2453">
          <w:rPr>
            <w:rStyle w:val="Hyperlink"/>
            <w:rFonts w:ascii="Arial" w:eastAsia="Times New Roman" w:hAnsi="Arial" w:cs="Arial"/>
            <w:color w:val="0000FF"/>
            <w:kern w:val="0"/>
            <w:sz w:val="20"/>
            <w:szCs w:val="20"/>
            <w:lang w:eastAsia="en-GB"/>
            <w14:ligatures w14:val="none"/>
          </w:rPr>
          <w:t>https://doi.org/10.1212/WNL.0000000000003796</w:t>
        </w:r>
      </w:hyperlink>
      <w:bookmarkEnd w:id="25"/>
      <w:r w:rsidRPr="00CF2453">
        <w:rPr>
          <w:rFonts w:ascii="Arial" w:eastAsia="Times New Roman" w:hAnsi="Arial" w:cs="Arial"/>
          <w:color w:val="0000FF"/>
          <w:kern w:val="0"/>
          <w:sz w:val="20"/>
          <w:szCs w:val="20"/>
          <w:lang w:eastAsia="en-GB"/>
          <w14:ligatures w14:val="none"/>
        </w:rPr>
        <w:t xml:space="preserve"> </w:t>
      </w:r>
    </w:p>
    <w:p w14:paraId="6FF13F1A" w14:textId="23AD4097" w:rsidR="0013141D" w:rsidRPr="00CF2453" w:rsidRDefault="0013141D"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6" w:name="_Ref229996489"/>
      <w:r w:rsidRPr="0013141D">
        <w:rPr>
          <w:rFonts w:ascii="Arial" w:eastAsia="Times New Roman" w:hAnsi="Arial" w:cs="Arial"/>
          <w:color w:val="0F1115"/>
          <w:kern w:val="0"/>
          <w:sz w:val="20"/>
          <w:szCs w:val="20"/>
          <w:lang w:eastAsia="en-GB"/>
          <w14:ligatures w14:val="none"/>
        </w:rPr>
        <w:t>Ni MM, Sun JY, Li ZQ, Qiu JC, Wu CF. Role of voltage-gated chloride channels in epilepsy: current insights and future directions. Frontiers in Pharmacology. 2025 Mar 28;16:1560392.</w:t>
      </w:r>
      <w:r w:rsidR="00F6628E">
        <w:rPr>
          <w:rFonts w:ascii="Arial" w:eastAsia="Times New Roman" w:hAnsi="Arial" w:cs="Arial"/>
          <w:color w:val="0F1115"/>
          <w:kern w:val="0"/>
          <w:sz w:val="20"/>
          <w:szCs w:val="20"/>
          <w:lang w:eastAsia="en-GB"/>
          <w14:ligatures w14:val="none"/>
        </w:rPr>
        <w:t xml:space="preserve"> </w:t>
      </w:r>
      <w:hyperlink r:id="rId34" w:history="1">
        <w:r w:rsidR="00F6628E" w:rsidRPr="00CF2453">
          <w:rPr>
            <w:rStyle w:val="Hyperlink"/>
            <w:rFonts w:ascii="Arial" w:eastAsia="Times New Roman" w:hAnsi="Arial" w:cs="Arial"/>
            <w:color w:val="0000FF"/>
            <w:kern w:val="0"/>
            <w:sz w:val="20"/>
            <w:szCs w:val="20"/>
            <w:lang w:eastAsia="en-GB"/>
            <w14:ligatures w14:val="none"/>
          </w:rPr>
          <w:t>https://doi.org/10.3389/fphar.2025.1560392</w:t>
        </w:r>
      </w:hyperlink>
      <w:bookmarkEnd w:id="26"/>
      <w:r w:rsidR="00F6628E" w:rsidRPr="00CF2453">
        <w:rPr>
          <w:rFonts w:ascii="Arial" w:eastAsia="Times New Roman" w:hAnsi="Arial" w:cs="Arial"/>
          <w:color w:val="0000FF"/>
          <w:kern w:val="0"/>
          <w:sz w:val="20"/>
          <w:szCs w:val="20"/>
          <w:lang w:eastAsia="en-GB"/>
          <w14:ligatures w14:val="none"/>
        </w:rPr>
        <w:t xml:space="preserve"> </w:t>
      </w:r>
    </w:p>
    <w:p w14:paraId="5E3B448A" w14:textId="6A677BBF" w:rsidR="0013141D" w:rsidRPr="00CF2453" w:rsidRDefault="0013141D" w:rsidP="000E038F">
      <w:pPr>
        <w:pStyle w:val="ListParagraph"/>
        <w:numPr>
          <w:ilvl w:val="0"/>
          <w:numId w:val="3"/>
        </w:numPr>
        <w:shd w:val="clear" w:color="auto" w:fill="FFFFFF"/>
        <w:spacing w:after="0" w:line="240" w:lineRule="auto"/>
        <w:ind w:left="288" w:hanging="288"/>
        <w:jc w:val="both"/>
        <w:rPr>
          <w:rFonts w:ascii="Arial" w:eastAsia="Times New Roman" w:hAnsi="Arial" w:cs="Arial"/>
          <w:color w:val="0000FF"/>
          <w:kern w:val="0"/>
          <w:sz w:val="20"/>
          <w:szCs w:val="20"/>
          <w:lang w:eastAsia="en-GB"/>
          <w14:ligatures w14:val="none"/>
        </w:rPr>
      </w:pPr>
      <w:bookmarkStart w:id="27" w:name="_Ref229996498"/>
      <w:r w:rsidRPr="0013141D">
        <w:rPr>
          <w:rFonts w:ascii="Arial" w:eastAsia="Times New Roman" w:hAnsi="Arial" w:cs="Arial"/>
          <w:color w:val="0F1115"/>
          <w:kern w:val="0"/>
          <w:sz w:val="20"/>
          <w:szCs w:val="20"/>
          <w:lang w:eastAsia="en-GB"/>
          <w14:ligatures w14:val="none"/>
        </w:rPr>
        <w:t>Debanne D, Mylonaki K, Musella ML, Russier M. Voltage-gated ion channels in epilepsies: circuit dysfunctions and treatments. Trends in Pharmacological Sciences. 2024 Nov 1;45(11):1018-32.</w:t>
      </w:r>
      <w:r w:rsidR="00F6628E">
        <w:rPr>
          <w:rFonts w:ascii="Arial" w:eastAsia="Times New Roman" w:hAnsi="Arial" w:cs="Arial"/>
          <w:color w:val="0F1115"/>
          <w:kern w:val="0"/>
          <w:sz w:val="20"/>
          <w:szCs w:val="20"/>
          <w:lang w:eastAsia="en-GB"/>
          <w14:ligatures w14:val="none"/>
        </w:rPr>
        <w:t xml:space="preserve"> </w:t>
      </w:r>
      <w:hyperlink r:id="rId35" w:history="1">
        <w:r w:rsidR="00F6628E" w:rsidRPr="00CF2453">
          <w:rPr>
            <w:rStyle w:val="Hyperlink"/>
            <w:rFonts w:ascii="Arial" w:eastAsia="Times New Roman" w:hAnsi="Arial" w:cs="Arial"/>
            <w:color w:val="0000FF"/>
            <w:kern w:val="0"/>
            <w:sz w:val="20"/>
            <w:szCs w:val="20"/>
            <w:lang w:eastAsia="en-GB"/>
            <w14:ligatures w14:val="none"/>
          </w:rPr>
          <w:t>https://doi.org/10.1016/j.tips.2024.09.004</w:t>
        </w:r>
      </w:hyperlink>
      <w:bookmarkEnd w:id="27"/>
      <w:r w:rsidR="00F6628E" w:rsidRPr="00CF2453">
        <w:rPr>
          <w:rFonts w:ascii="Arial" w:eastAsia="Times New Roman" w:hAnsi="Arial" w:cs="Arial"/>
          <w:color w:val="0000FF"/>
          <w:kern w:val="0"/>
          <w:sz w:val="20"/>
          <w:szCs w:val="20"/>
          <w:lang w:eastAsia="en-GB"/>
          <w14:ligatures w14:val="none"/>
        </w:rPr>
        <w:t xml:space="preserve"> </w:t>
      </w:r>
    </w:p>
    <w:p w14:paraId="219E65D4" w14:textId="07C90C85" w:rsidR="0012316E" w:rsidRDefault="0013141D" w:rsidP="0013141D">
      <w:pPr>
        <w:pStyle w:val="ListParagraph"/>
        <w:numPr>
          <w:ilvl w:val="0"/>
          <w:numId w:val="3"/>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8" w:name="_Ref229996503"/>
      <w:r w:rsidRPr="0013141D">
        <w:rPr>
          <w:rFonts w:ascii="Arial" w:eastAsia="Times New Roman" w:hAnsi="Arial" w:cs="Arial"/>
          <w:color w:val="0F1115"/>
          <w:kern w:val="0"/>
          <w:sz w:val="20"/>
          <w:szCs w:val="20"/>
          <w:lang w:eastAsia="en-GB"/>
          <w14:ligatures w14:val="none"/>
        </w:rPr>
        <w:t>Olatunji SY, Kale OE, Ogunsola OA, Olanrewaju JA, Esiaba I, Adelodun T, Ogunnaike OP. Diospyros mespilifoemis hochst Modulates the Hippocampus and Prefrontal Cortex of Wistar Rat following Lithium chloride pilocarpine-induced Epilepsy. Babcock University Medical Journal. 2024 Dec 31;7(2):164-77.</w:t>
      </w:r>
      <w:r w:rsidR="00F6628E">
        <w:rPr>
          <w:rFonts w:ascii="Arial" w:eastAsia="Times New Roman" w:hAnsi="Arial" w:cs="Arial"/>
          <w:color w:val="0F1115"/>
          <w:kern w:val="0"/>
          <w:sz w:val="20"/>
          <w:szCs w:val="20"/>
          <w:lang w:eastAsia="en-GB"/>
          <w14:ligatures w14:val="none"/>
        </w:rPr>
        <w:t xml:space="preserve"> </w:t>
      </w:r>
      <w:hyperlink r:id="rId36" w:history="1">
        <w:r w:rsidR="00F6628E" w:rsidRPr="00CF2453">
          <w:rPr>
            <w:rStyle w:val="Hyperlink"/>
            <w:rFonts w:ascii="Arial" w:eastAsia="Times New Roman" w:hAnsi="Arial" w:cs="Arial"/>
            <w:color w:val="0000FF"/>
            <w:kern w:val="0"/>
            <w:sz w:val="20"/>
            <w:szCs w:val="20"/>
            <w:lang w:eastAsia="en-GB"/>
            <w14:ligatures w14:val="none"/>
          </w:rPr>
          <w:t>https://doi.org/10.38029/babcockuniv.med.j..v7i2.347</w:t>
        </w:r>
      </w:hyperlink>
      <w:bookmarkEnd w:id="28"/>
      <w:r w:rsidR="00F6628E" w:rsidRPr="00CF2453">
        <w:rPr>
          <w:rFonts w:ascii="Arial" w:eastAsia="Times New Roman" w:hAnsi="Arial" w:cs="Arial"/>
          <w:color w:val="0000FF"/>
          <w:kern w:val="0"/>
          <w:sz w:val="20"/>
          <w:szCs w:val="20"/>
          <w:lang w:eastAsia="en-GB"/>
          <w14:ligatures w14:val="none"/>
        </w:rPr>
        <w:t xml:space="preserve"> </w:t>
      </w:r>
    </w:p>
    <w:sectPr w:rsidR="0012316E" w:rsidSect="00785A6C">
      <w:type w:val="continuous"/>
      <w:pgSz w:w="11906" w:h="16838"/>
      <w:pgMar w:top="1440" w:right="1440" w:bottom="1440" w:left="144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2667C" w14:textId="77777777" w:rsidR="00260BCD" w:rsidRDefault="00260BCD" w:rsidP="00306D1F">
      <w:pPr>
        <w:spacing w:after="0" w:line="240" w:lineRule="auto"/>
      </w:pPr>
      <w:r>
        <w:separator/>
      </w:r>
    </w:p>
  </w:endnote>
  <w:endnote w:type="continuationSeparator" w:id="0">
    <w:p w14:paraId="5DB81C3E" w14:textId="77777777" w:rsidR="00260BCD" w:rsidRDefault="00260BCD" w:rsidP="00306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A681" w14:textId="77777777" w:rsidR="00BD59D2" w:rsidRDefault="00BD59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FF"/>
      </w:rPr>
      <w:id w:val="-507063206"/>
      <w:docPartObj>
        <w:docPartGallery w:val="Page Numbers (Bottom of Page)"/>
        <w:docPartUnique/>
      </w:docPartObj>
    </w:sdtPr>
    <w:sdtEndPr>
      <w:rPr>
        <w:noProof/>
      </w:rPr>
    </w:sdtEndPr>
    <w:sdtContent>
      <w:p w14:paraId="0940EEEA" w14:textId="5103CA80" w:rsidR="0098315F" w:rsidRPr="0098315F" w:rsidRDefault="0098315F">
        <w:pPr>
          <w:pStyle w:val="Footer"/>
          <w:jc w:val="right"/>
          <w:rPr>
            <w:rFonts w:ascii="Arial" w:hAnsi="Arial" w:cs="Arial"/>
            <w:color w:val="0000FF"/>
          </w:rPr>
        </w:pPr>
        <w:r w:rsidRPr="0098315F">
          <w:rPr>
            <w:rFonts w:ascii="Arial" w:hAnsi="Arial" w:cs="Arial"/>
            <w:color w:val="0000FF"/>
          </w:rPr>
          <w:fldChar w:fldCharType="begin"/>
        </w:r>
        <w:r w:rsidRPr="0098315F">
          <w:rPr>
            <w:rFonts w:ascii="Arial" w:hAnsi="Arial" w:cs="Arial"/>
            <w:color w:val="0000FF"/>
          </w:rPr>
          <w:instrText xml:space="preserve"> PAGE   \* MERGEFORMAT </w:instrText>
        </w:r>
        <w:r w:rsidRPr="0098315F">
          <w:rPr>
            <w:rFonts w:ascii="Arial" w:hAnsi="Arial" w:cs="Arial"/>
            <w:color w:val="0000FF"/>
          </w:rPr>
          <w:fldChar w:fldCharType="separate"/>
        </w:r>
        <w:r w:rsidRPr="0098315F">
          <w:rPr>
            <w:rFonts w:ascii="Arial" w:hAnsi="Arial" w:cs="Arial"/>
            <w:noProof/>
            <w:color w:val="0000FF"/>
          </w:rPr>
          <w:t>2</w:t>
        </w:r>
        <w:r w:rsidRPr="0098315F">
          <w:rPr>
            <w:rFonts w:ascii="Arial" w:hAnsi="Arial" w:cs="Arial"/>
            <w:noProof/>
            <w:color w:val="0000FF"/>
          </w:rPr>
          <w:fldChar w:fldCharType="end"/>
        </w:r>
      </w:p>
    </w:sdtContent>
  </w:sdt>
  <w:p w14:paraId="05177F05" w14:textId="77777777" w:rsidR="0098315F" w:rsidRDefault="009831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0DB3" w14:textId="77777777" w:rsidR="00306D1F" w:rsidRDefault="00306D1F" w:rsidP="00306D1F">
    <w:pPr>
      <w:autoSpaceDE w:val="0"/>
      <w:autoSpaceDN w:val="0"/>
      <w:adjustRightInd w:val="0"/>
      <w:spacing w:after="0" w:line="240" w:lineRule="auto"/>
      <w:rPr>
        <w:rFonts w:ascii="Arial" w:eastAsia="SimSun" w:hAnsi="Arial" w:cs="Arial"/>
        <w:bCs/>
        <w:color w:val="000000"/>
        <w:sz w:val="16"/>
        <w:szCs w:val="16"/>
      </w:rPr>
    </w:pPr>
  </w:p>
  <w:p w14:paraId="61E10841" w14:textId="6BA73646" w:rsidR="00306D1F" w:rsidRPr="00BC04BD" w:rsidRDefault="00306D1F" w:rsidP="00306D1F">
    <w:pPr>
      <w:autoSpaceDE w:val="0"/>
      <w:autoSpaceDN w:val="0"/>
      <w:adjustRightInd w:val="0"/>
      <w:spacing w:after="0" w:line="240" w:lineRule="auto"/>
      <w:rPr>
        <w:rFonts w:ascii="Arial" w:eastAsia="SimSun" w:hAnsi="Arial" w:cs="Arial"/>
        <w:bCs/>
        <w:color w:val="000000"/>
        <w:sz w:val="16"/>
        <w:szCs w:val="16"/>
      </w:rPr>
    </w:pPr>
    <w:r w:rsidRPr="00BC04BD">
      <w:rPr>
        <w:rFonts w:ascii="Arial" w:eastAsia="SimSun" w:hAnsi="Arial" w:cs="Arial"/>
        <w:bCs/>
        <w:color w:val="000000"/>
        <w:sz w:val="16"/>
        <w:szCs w:val="16"/>
      </w:rPr>
      <w:t>Correspondence:</w:t>
    </w:r>
  </w:p>
  <w:p w14:paraId="7229035F" w14:textId="77777777" w:rsidR="00EF3A9C" w:rsidRPr="00EF3A9C" w:rsidRDefault="00EF3A9C" w:rsidP="00EF3A9C">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EF3A9C">
      <w:rPr>
        <w:rFonts w:ascii="Arial" w:eastAsia="Times New Roman" w:hAnsi="Arial" w:cs="Arial"/>
        <w:iCs/>
        <w:color w:val="000000"/>
        <w:sz w:val="16"/>
        <w:szCs w:val="16"/>
        <w:shd w:val="clear" w:color="auto" w:fill="FFFFFF"/>
      </w:rPr>
      <w:t>Hussein Ahmed K</w:t>
    </w:r>
  </w:p>
  <w:p w14:paraId="2A734614" w14:textId="13D413DB" w:rsidR="00EF3A9C" w:rsidRPr="00EF3A9C" w:rsidRDefault="00EF3A9C" w:rsidP="00EF3A9C">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EF3A9C">
      <w:rPr>
        <w:rFonts w:ascii="Arial" w:eastAsia="Times New Roman" w:hAnsi="Arial" w:cs="Arial"/>
        <w:iCs/>
        <w:color w:val="000000"/>
        <w:sz w:val="16"/>
        <w:szCs w:val="16"/>
        <w:shd w:val="clear" w:color="auto" w:fill="FFFFFF"/>
      </w:rPr>
      <w:t>Ministry of Health – Al</w:t>
    </w:r>
    <w:r w:rsidRPr="00EF3A9C">
      <w:rPr>
        <w:rFonts w:ascii="Arial" w:eastAsia="Times New Roman" w:hAnsi="Arial" w:cs="Arial"/>
        <w:iCs/>
        <w:color w:val="000000"/>
        <w:sz w:val="16"/>
        <w:szCs w:val="16"/>
        <w:shd w:val="clear" w:color="auto" w:fill="FFFFFF"/>
      </w:rPr>
      <w:noBreakHyphen/>
      <w:t>Diwaniyah</w:t>
    </w:r>
  </w:p>
  <w:p w14:paraId="23543CC4" w14:textId="4A0A77CC" w:rsidR="00EF3A9C" w:rsidRPr="00EF3A9C" w:rsidRDefault="00EF3A9C" w:rsidP="00EF3A9C">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EF3A9C">
      <w:rPr>
        <w:rFonts w:ascii="Arial" w:eastAsia="Times New Roman" w:hAnsi="Arial" w:cs="Arial"/>
        <w:iCs/>
        <w:color w:val="000000"/>
        <w:sz w:val="16"/>
        <w:szCs w:val="16"/>
        <w:shd w:val="clear" w:color="auto" w:fill="FFFFFF"/>
      </w:rPr>
      <w:t>Al</w:t>
    </w:r>
    <w:r w:rsidRPr="00EF3A9C">
      <w:rPr>
        <w:rFonts w:ascii="Arial" w:eastAsia="Times New Roman" w:hAnsi="Arial" w:cs="Arial"/>
        <w:iCs/>
        <w:color w:val="000000"/>
        <w:sz w:val="16"/>
        <w:szCs w:val="16"/>
        <w:shd w:val="clear" w:color="auto" w:fill="FFFFFF"/>
      </w:rPr>
      <w:noBreakHyphen/>
      <w:t>Diwaniyah Governorate</w:t>
    </w:r>
  </w:p>
  <w:p w14:paraId="71ABFA53" w14:textId="77777777" w:rsidR="00EF3A9C" w:rsidRPr="00EF3A9C" w:rsidRDefault="00EF3A9C" w:rsidP="00EF3A9C">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EF3A9C">
      <w:rPr>
        <w:rFonts w:ascii="Arial" w:eastAsia="Times New Roman" w:hAnsi="Arial" w:cs="Arial"/>
        <w:iCs/>
        <w:color w:val="000000"/>
        <w:sz w:val="16"/>
        <w:szCs w:val="16"/>
        <w:shd w:val="clear" w:color="auto" w:fill="FFFFFF"/>
      </w:rPr>
      <w:t>Iraq</w:t>
    </w:r>
  </w:p>
  <w:p w14:paraId="6DAF3B29" w14:textId="77777777" w:rsidR="00EF3A9C" w:rsidRPr="00792486" w:rsidRDefault="00EF3A9C" w:rsidP="00EF3A9C">
    <w:pPr>
      <w:tabs>
        <w:tab w:val="center" w:pos="4680"/>
        <w:tab w:val="right" w:pos="9360"/>
      </w:tabs>
      <w:autoSpaceDE w:val="0"/>
      <w:autoSpaceDN w:val="0"/>
      <w:adjustRightInd w:val="0"/>
      <w:spacing w:after="0" w:line="240" w:lineRule="auto"/>
      <w:rPr>
        <w:rFonts w:ascii="Arial" w:eastAsia="Times New Roman" w:hAnsi="Arial" w:cs="Arial"/>
        <w:iCs/>
        <w:color w:val="0000FF"/>
        <w:sz w:val="16"/>
        <w:szCs w:val="16"/>
        <w:shd w:val="clear" w:color="auto" w:fill="FFFFFF"/>
      </w:rPr>
    </w:pPr>
    <w:r w:rsidRPr="00EF3A9C">
      <w:rPr>
        <w:rFonts w:ascii="Arial" w:eastAsia="Times New Roman" w:hAnsi="Arial" w:cs="Arial"/>
        <w:iCs/>
        <w:color w:val="000000"/>
        <w:sz w:val="16"/>
        <w:szCs w:val="16"/>
        <w:shd w:val="clear" w:color="auto" w:fill="FFFFFF"/>
      </w:rPr>
      <w:t xml:space="preserve">+9647808310969, </w:t>
    </w:r>
    <w:hyperlink r:id="rId1" w:history="1">
      <w:r w:rsidRPr="00792486">
        <w:rPr>
          <w:rStyle w:val="Hyperlink"/>
          <w:rFonts w:ascii="Arial" w:eastAsia="Times New Roman" w:hAnsi="Arial" w:cs="Arial"/>
          <w:iCs/>
          <w:color w:val="0000FF"/>
          <w:sz w:val="16"/>
          <w:szCs w:val="16"/>
          <w:shd w:val="clear" w:color="auto" w:fill="FFFFFF"/>
        </w:rPr>
        <w:t>Ahmedka7722@gmail.com</w:t>
      </w:r>
    </w:hyperlink>
  </w:p>
  <w:p w14:paraId="33780FFB" w14:textId="1F468992" w:rsidR="00306D1F" w:rsidRPr="00EF1A04" w:rsidRDefault="00306D1F" w:rsidP="00306D1F">
    <w:pPr>
      <w:tabs>
        <w:tab w:val="center" w:pos="4680"/>
        <w:tab w:val="right" w:pos="9360"/>
      </w:tabs>
      <w:autoSpaceDE w:val="0"/>
      <w:autoSpaceDN w:val="0"/>
      <w:adjustRightInd w:val="0"/>
      <w:spacing w:after="0" w:line="240" w:lineRule="auto"/>
      <w:rPr>
        <w:rFonts w:ascii="Arial" w:eastAsia="Times New Roman" w:hAnsi="Arial" w:cs="Arial"/>
        <w:color w:val="0000FF"/>
        <w:sz w:val="12"/>
        <w:szCs w:val="12"/>
        <w:lang w:val="pt-BR"/>
      </w:rPr>
    </w:pPr>
  </w:p>
  <w:p w14:paraId="2009F09E" w14:textId="77777777" w:rsidR="00306D1F" w:rsidRPr="00BC04BD" w:rsidRDefault="00306D1F" w:rsidP="00306D1F">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 BUMJ. 2026 Open Access This article is distributed under the terms of the Creative Commons Attribution 4.0 International License</w:t>
    </w:r>
  </w:p>
  <w:p w14:paraId="7F3311F5" w14:textId="6059AF4E" w:rsidR="00306D1F" w:rsidRPr="00306D1F" w:rsidRDefault="00306D1F" w:rsidP="00306D1F">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w:t>
    </w:r>
    <w:hyperlink r:id="rId2" w:history="1">
      <w:r w:rsidRPr="00BC04BD">
        <w:rPr>
          <w:rFonts w:ascii="Arial" w:eastAsia="Times New Roman" w:hAnsi="Arial" w:cs="Arial"/>
          <w:color w:val="0000FF"/>
          <w:sz w:val="12"/>
          <w:szCs w:val="12"/>
          <w:u w:val="single"/>
        </w:rPr>
        <w:t>http://creativecommons.org/licenses/by/4.0/</w:t>
      </w:r>
    </w:hyperlink>
    <w:r w:rsidRPr="00BC04BD">
      <w:rPr>
        <w:rFonts w:ascii="Arial" w:eastAsia="Times New Roman" w:hAnsi="Arial" w:cs="Arial"/>
        <w:color w:val="000000"/>
        <w:sz w:val="12"/>
        <w:szCs w:val="12"/>
      </w:rPr>
      <w:t>), which permits unrestricted use, distribution, and reproduction in any medium, provided you give appropriate credit to the original author(s) and the source, provide a link to the Creative Commons license, and indicate if changes were made. The Creative Commons Public Domain Dedication waiver (</w:t>
    </w:r>
    <w:hyperlink r:id="rId3" w:history="1">
      <w:r w:rsidRPr="00BC04BD">
        <w:rPr>
          <w:rFonts w:ascii="Arial" w:eastAsia="Times New Roman" w:hAnsi="Arial" w:cs="Arial"/>
          <w:color w:val="0000FF"/>
          <w:sz w:val="12"/>
          <w:szCs w:val="12"/>
          <w:u w:val="single"/>
        </w:rPr>
        <w:t>http://creativecommons.org/publicdomain/zero/1.0/</w:t>
      </w:r>
    </w:hyperlink>
    <w:r w:rsidRPr="00BC04BD">
      <w:rPr>
        <w:rFonts w:ascii="Arial" w:eastAsia="Times New Roman" w:hAnsi="Arial" w:cs="Arial"/>
        <w:color w:val="000000"/>
        <w:sz w:val="12"/>
        <w:szCs w:val="12"/>
      </w:rPr>
      <w:t>) applies to the data made available in this article, unless otherwise stated.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C4E56" w14:textId="77777777" w:rsidR="00260BCD" w:rsidRDefault="00260BCD" w:rsidP="00306D1F">
      <w:pPr>
        <w:spacing w:after="0" w:line="240" w:lineRule="auto"/>
      </w:pPr>
      <w:r>
        <w:separator/>
      </w:r>
    </w:p>
  </w:footnote>
  <w:footnote w:type="continuationSeparator" w:id="0">
    <w:p w14:paraId="28A739A6" w14:textId="77777777" w:rsidR="00260BCD" w:rsidRDefault="00260BCD" w:rsidP="00306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EC317" w14:textId="77777777" w:rsidR="00BD59D2" w:rsidRDefault="00BD59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93E9" w14:textId="4DBB7AC4" w:rsidR="00306D1F" w:rsidRPr="00306D1F" w:rsidRDefault="00306D1F">
    <w:pPr>
      <w:pStyle w:val="Header"/>
      <w:rPr>
        <w:color w:val="0000FF"/>
      </w:rPr>
    </w:pPr>
    <w:r w:rsidRPr="00306D1F">
      <w:rPr>
        <w:rFonts w:ascii="Arial" w:hAnsi="Arial" w:cs="Arial"/>
        <w:bCs/>
        <w:color w:val="0000FF"/>
        <w:sz w:val="20"/>
        <w:szCs w:val="20"/>
      </w:rPr>
      <w:t xml:space="preserve">Hussien </w:t>
    </w:r>
    <w:r w:rsidRPr="00306D1F">
      <w:rPr>
        <w:rFonts w:ascii="Arial" w:hAnsi="Arial" w:cs="Arial"/>
        <w:i/>
        <w:color w:val="0000FF"/>
        <w:sz w:val="20"/>
        <w:szCs w:val="20"/>
      </w:rPr>
      <w:t xml:space="preserve">et. al., </w:t>
    </w:r>
    <w:r w:rsidRPr="00306D1F">
      <w:rPr>
        <w:rFonts w:ascii="Arial" w:hAnsi="Arial" w:cs="Arial"/>
        <w:color w:val="0000FF"/>
        <w:sz w:val="20"/>
        <w:szCs w:val="20"/>
      </w:rPr>
      <w:t>Babcock Univ. Med. J.2026 9(</w:t>
    </w:r>
    <w:r w:rsidR="00BD59D2">
      <w:rPr>
        <w:rFonts w:ascii="Arial" w:hAnsi="Arial" w:cs="Arial"/>
        <w:color w:val="0000FF"/>
        <w:sz w:val="20"/>
        <w:szCs w:val="20"/>
      </w:rPr>
      <w:t>S1</w:t>
    </w:r>
    <w:r w:rsidRPr="00306D1F">
      <w:rPr>
        <w:rFonts w:ascii="Arial" w:hAnsi="Arial" w:cs="Arial"/>
        <w:color w:val="0000FF"/>
        <w:sz w:val="20"/>
        <w:szCs w:val="20"/>
      </w:rPr>
      <w:t>)</w:t>
    </w:r>
    <w:r w:rsidR="008F78FC">
      <w:rPr>
        <w:rFonts w:ascii="Arial" w:hAnsi="Arial" w:cs="Arial"/>
        <w:color w:val="0000FF"/>
        <w:sz w:val="20"/>
        <w:szCs w:val="20"/>
      </w:rPr>
      <w:t>:27-34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B738" w14:textId="67F750AC" w:rsidR="00306D1F" w:rsidRPr="00384349" w:rsidRDefault="00306D1F" w:rsidP="00306D1F">
    <w:pPr>
      <w:pStyle w:val="Header"/>
      <w:rPr>
        <w:rFonts w:ascii="Arial" w:hAnsi="Arial" w:cs="Arial"/>
        <w:sz w:val="20"/>
        <w:szCs w:val="20"/>
      </w:rPr>
    </w:pPr>
    <w:bookmarkStart w:id="0" w:name="_Hlk144824038"/>
    <w:bookmarkStart w:id="1" w:name="_Hlk157341737"/>
    <w:bookmarkStart w:id="2" w:name="_Hlk193443673"/>
    <w:bookmarkStart w:id="3" w:name="_Hlk199939334"/>
    <w:bookmarkStart w:id="4" w:name="_Hlk220401145"/>
    <w:r>
      <w:rPr>
        <w:rFonts w:ascii="Arial" w:hAnsi="Arial" w:cs="Arial"/>
        <w:bCs/>
        <w:sz w:val="20"/>
        <w:szCs w:val="20"/>
      </w:rPr>
      <w:t xml:space="preserve">Hussien </w:t>
    </w:r>
    <w:r w:rsidRPr="00384349">
      <w:rPr>
        <w:rFonts w:ascii="Arial" w:hAnsi="Arial" w:cs="Arial"/>
        <w:i/>
        <w:sz w:val="20"/>
        <w:szCs w:val="20"/>
      </w:rPr>
      <w:t>et</w:t>
    </w:r>
    <w:r>
      <w:rPr>
        <w:rFonts w:ascii="Arial" w:hAnsi="Arial" w:cs="Arial"/>
        <w:i/>
        <w:sz w:val="20"/>
        <w:szCs w:val="20"/>
      </w:rPr>
      <w:t>.</w:t>
    </w:r>
    <w:r w:rsidRPr="00384349">
      <w:rPr>
        <w:rFonts w:ascii="Arial" w:hAnsi="Arial" w:cs="Arial"/>
        <w:i/>
        <w:sz w:val="20"/>
        <w:szCs w:val="20"/>
      </w:rPr>
      <w:t xml:space="preserve"> al., </w:t>
    </w:r>
    <w:r w:rsidRPr="00384349">
      <w:rPr>
        <w:rFonts w:ascii="Arial" w:hAnsi="Arial" w:cs="Arial"/>
        <w:sz w:val="20"/>
        <w:szCs w:val="20"/>
      </w:rPr>
      <w:t>Babcock Univ. Med. J.2026 9(</w:t>
    </w:r>
    <w:r w:rsidR="00274AAD">
      <w:rPr>
        <w:rFonts w:ascii="Arial" w:hAnsi="Arial" w:cs="Arial"/>
        <w:sz w:val="20"/>
        <w:szCs w:val="20"/>
      </w:rPr>
      <w:t>S1</w:t>
    </w:r>
    <w:r w:rsidRPr="00384349">
      <w:rPr>
        <w:rFonts w:ascii="Arial" w:hAnsi="Arial" w:cs="Arial"/>
        <w:sz w:val="20"/>
        <w:szCs w:val="20"/>
      </w:rPr>
      <w:t>)</w:t>
    </w:r>
    <w:bookmarkEnd w:id="0"/>
    <w:bookmarkEnd w:id="1"/>
    <w:bookmarkEnd w:id="2"/>
    <w:r w:rsidR="00274AAD">
      <w:rPr>
        <w:rFonts w:ascii="Arial" w:hAnsi="Arial" w:cs="Arial"/>
        <w:sz w:val="20"/>
        <w:szCs w:val="20"/>
      </w:rPr>
      <w:t>:27</w:t>
    </w:r>
    <w:r w:rsidR="00B04465">
      <w:rPr>
        <w:rFonts w:ascii="Arial" w:hAnsi="Arial" w:cs="Arial"/>
        <w:sz w:val="20"/>
        <w:szCs w:val="20"/>
      </w:rPr>
      <w:t>-34</w:t>
    </w:r>
    <w:r>
      <w:rPr>
        <w:rFonts w:ascii="Arial" w:hAnsi="Arial" w:cs="Arial"/>
        <w:sz w:val="20"/>
        <w:szCs w:val="20"/>
      </w:rPr>
      <w:t xml:space="preserve">           </w:t>
    </w:r>
    <w:r w:rsidRPr="00384349">
      <w:rPr>
        <w:rFonts w:ascii="Arial" w:hAnsi="Arial" w:cs="Arial"/>
        <w:sz w:val="20"/>
        <w:szCs w:val="20"/>
      </w:rPr>
      <w:t xml:space="preserve">                          </w:t>
    </w:r>
    <w:r w:rsidRPr="00384349">
      <w:rPr>
        <w:rFonts w:ascii="Arial" w:hAnsi="Arial" w:cs="Arial"/>
        <w:noProof/>
        <w:sz w:val="20"/>
        <w:szCs w:val="20"/>
      </w:rPr>
      <w:drawing>
        <wp:inline distT="0" distB="0" distL="0" distR="0" wp14:anchorId="38278C0E" wp14:editId="6034D8F7">
          <wp:extent cx="1295400" cy="438150"/>
          <wp:effectExtent l="0" t="0" r="0" b="0"/>
          <wp:docPr id="971288073" name="Picture 4" descr="Preview of the currently selec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875361" descr="Preview of the currently selec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3E8CBC7B" w14:textId="524BBA9B" w:rsidR="00306D1F" w:rsidRPr="00384349" w:rsidRDefault="00B04465" w:rsidP="00306D1F">
    <w:pPr>
      <w:pStyle w:val="Header"/>
      <w:rPr>
        <w:rFonts w:ascii="Arial" w:hAnsi="Arial" w:cs="Arial"/>
        <w:sz w:val="20"/>
        <w:szCs w:val="20"/>
      </w:rPr>
    </w:pPr>
    <w:hyperlink r:id="rId2" w:history="1">
      <w:r w:rsidRPr="00B04465">
        <w:rPr>
          <w:rStyle w:val="Hyperlink"/>
          <w:rFonts w:ascii="Arial" w:hAnsi="Arial" w:cs="Arial"/>
          <w:color w:val="0000FF"/>
          <w:sz w:val="20"/>
          <w:szCs w:val="20"/>
        </w:rPr>
        <w:t>https://doi.org/10.38029/babcockuniv.med.j..v9iS1.1581</w:t>
      </w:r>
    </w:hyperlink>
    <w:r w:rsidR="00306D1F" w:rsidRPr="00B04465">
      <w:rPr>
        <w:rFonts w:ascii="Arial" w:hAnsi="Arial" w:cs="Arial"/>
        <w:color w:val="0000FF"/>
        <w:sz w:val="20"/>
        <w:szCs w:val="20"/>
      </w:rPr>
      <w:t xml:space="preserve"> </w:t>
    </w:r>
    <w:r w:rsidR="00306D1F" w:rsidRPr="00384349">
      <w:rPr>
        <w:rFonts w:ascii="Arial" w:hAnsi="Arial" w:cs="Arial"/>
        <w:sz w:val="20"/>
        <w:szCs w:val="20"/>
      </w:rPr>
      <w:t xml:space="preserve">                                           eISSN: 2756-4657</w:t>
    </w:r>
    <w:bookmarkEnd w:id="3"/>
    <w:bookmarkEnd w:id="4"/>
  </w:p>
  <w:p w14:paraId="07432CB5" w14:textId="77777777" w:rsidR="00306D1F" w:rsidRDefault="00306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169DB"/>
    <w:multiLevelType w:val="hybridMultilevel"/>
    <w:tmpl w:val="AA38A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113CAC"/>
    <w:multiLevelType w:val="multilevel"/>
    <w:tmpl w:val="CAE0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9502F9"/>
    <w:multiLevelType w:val="hybridMultilevel"/>
    <w:tmpl w:val="044E7B04"/>
    <w:lvl w:ilvl="0" w:tplc="B9EE4F3A">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7768454">
    <w:abstractNumId w:val="1"/>
  </w:num>
  <w:num w:numId="2" w16cid:durableId="1719433373">
    <w:abstractNumId w:val="0"/>
  </w:num>
  <w:num w:numId="3" w16cid:durableId="1044789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439"/>
    <w:rsid w:val="00017E0B"/>
    <w:rsid w:val="00021F12"/>
    <w:rsid w:val="00053828"/>
    <w:rsid w:val="00062B08"/>
    <w:rsid w:val="00097AB7"/>
    <w:rsid w:val="000B23C3"/>
    <w:rsid w:val="000E038F"/>
    <w:rsid w:val="000E12FF"/>
    <w:rsid w:val="000E2871"/>
    <w:rsid w:val="000E3C11"/>
    <w:rsid w:val="0012316E"/>
    <w:rsid w:val="0013141D"/>
    <w:rsid w:val="00133A34"/>
    <w:rsid w:val="001376B4"/>
    <w:rsid w:val="00161F14"/>
    <w:rsid w:val="001B749A"/>
    <w:rsid w:val="001C43D5"/>
    <w:rsid w:val="00207C21"/>
    <w:rsid w:val="0021495F"/>
    <w:rsid w:val="00217A11"/>
    <w:rsid w:val="002402DB"/>
    <w:rsid w:val="00253CE7"/>
    <w:rsid w:val="0025789E"/>
    <w:rsid w:val="00260BCD"/>
    <w:rsid w:val="00267692"/>
    <w:rsid w:val="00274AAD"/>
    <w:rsid w:val="00283731"/>
    <w:rsid w:val="00286CAC"/>
    <w:rsid w:val="002A7150"/>
    <w:rsid w:val="002C65CE"/>
    <w:rsid w:val="002E3FE3"/>
    <w:rsid w:val="00301741"/>
    <w:rsid w:val="00304D1B"/>
    <w:rsid w:val="00306D1F"/>
    <w:rsid w:val="003229F9"/>
    <w:rsid w:val="00337BDA"/>
    <w:rsid w:val="003449F3"/>
    <w:rsid w:val="0039368A"/>
    <w:rsid w:val="00395D65"/>
    <w:rsid w:val="003961EF"/>
    <w:rsid w:val="003A2A6E"/>
    <w:rsid w:val="003B3F94"/>
    <w:rsid w:val="003C139A"/>
    <w:rsid w:val="003E0007"/>
    <w:rsid w:val="003E33E9"/>
    <w:rsid w:val="003F64F5"/>
    <w:rsid w:val="00402105"/>
    <w:rsid w:val="004065FE"/>
    <w:rsid w:val="00420DEF"/>
    <w:rsid w:val="00424E34"/>
    <w:rsid w:val="004337C9"/>
    <w:rsid w:val="0045783A"/>
    <w:rsid w:val="00461487"/>
    <w:rsid w:val="00487CFF"/>
    <w:rsid w:val="004903D9"/>
    <w:rsid w:val="0049611E"/>
    <w:rsid w:val="00501D7E"/>
    <w:rsid w:val="00506759"/>
    <w:rsid w:val="005247A3"/>
    <w:rsid w:val="00542E92"/>
    <w:rsid w:val="005461D2"/>
    <w:rsid w:val="00552730"/>
    <w:rsid w:val="005A0BB0"/>
    <w:rsid w:val="005B668F"/>
    <w:rsid w:val="005F4F78"/>
    <w:rsid w:val="00620DA2"/>
    <w:rsid w:val="006623BB"/>
    <w:rsid w:val="006A467F"/>
    <w:rsid w:val="006B16EB"/>
    <w:rsid w:val="006C191A"/>
    <w:rsid w:val="006C533F"/>
    <w:rsid w:val="006D05FC"/>
    <w:rsid w:val="00754D55"/>
    <w:rsid w:val="00785A6C"/>
    <w:rsid w:val="0079173D"/>
    <w:rsid w:val="00792486"/>
    <w:rsid w:val="007B4D13"/>
    <w:rsid w:val="007E14F8"/>
    <w:rsid w:val="007E3271"/>
    <w:rsid w:val="00820257"/>
    <w:rsid w:val="0082353B"/>
    <w:rsid w:val="00856A6E"/>
    <w:rsid w:val="00866780"/>
    <w:rsid w:val="00883486"/>
    <w:rsid w:val="008C1FE6"/>
    <w:rsid w:val="008C6E8C"/>
    <w:rsid w:val="008D760D"/>
    <w:rsid w:val="008E7A6D"/>
    <w:rsid w:val="008F78FC"/>
    <w:rsid w:val="00923C58"/>
    <w:rsid w:val="00947354"/>
    <w:rsid w:val="0098315F"/>
    <w:rsid w:val="00993CB2"/>
    <w:rsid w:val="009D5AD6"/>
    <w:rsid w:val="009F22DD"/>
    <w:rsid w:val="00A11562"/>
    <w:rsid w:val="00A1287B"/>
    <w:rsid w:val="00A178BA"/>
    <w:rsid w:val="00A47FD5"/>
    <w:rsid w:val="00A50CD8"/>
    <w:rsid w:val="00A832D4"/>
    <w:rsid w:val="00A840B9"/>
    <w:rsid w:val="00A969CD"/>
    <w:rsid w:val="00AC3486"/>
    <w:rsid w:val="00B04465"/>
    <w:rsid w:val="00B139CA"/>
    <w:rsid w:val="00B1527D"/>
    <w:rsid w:val="00B5500B"/>
    <w:rsid w:val="00B56A89"/>
    <w:rsid w:val="00B60980"/>
    <w:rsid w:val="00B61261"/>
    <w:rsid w:val="00B867CC"/>
    <w:rsid w:val="00B902E4"/>
    <w:rsid w:val="00B9677E"/>
    <w:rsid w:val="00BC57A3"/>
    <w:rsid w:val="00BD59D2"/>
    <w:rsid w:val="00BD5CCB"/>
    <w:rsid w:val="00C24FA9"/>
    <w:rsid w:val="00C43439"/>
    <w:rsid w:val="00C6758A"/>
    <w:rsid w:val="00C871F5"/>
    <w:rsid w:val="00CA45A2"/>
    <w:rsid w:val="00CA5FFE"/>
    <w:rsid w:val="00CA634D"/>
    <w:rsid w:val="00CB163C"/>
    <w:rsid w:val="00CB7423"/>
    <w:rsid w:val="00CE096F"/>
    <w:rsid w:val="00CE2249"/>
    <w:rsid w:val="00CF2453"/>
    <w:rsid w:val="00D0233C"/>
    <w:rsid w:val="00D33FFF"/>
    <w:rsid w:val="00D35340"/>
    <w:rsid w:val="00D57FF5"/>
    <w:rsid w:val="00D825FA"/>
    <w:rsid w:val="00D85296"/>
    <w:rsid w:val="00D8681A"/>
    <w:rsid w:val="00D970DC"/>
    <w:rsid w:val="00DA3053"/>
    <w:rsid w:val="00DC3F92"/>
    <w:rsid w:val="00DC6E46"/>
    <w:rsid w:val="00DD226F"/>
    <w:rsid w:val="00DF0251"/>
    <w:rsid w:val="00E17928"/>
    <w:rsid w:val="00E66312"/>
    <w:rsid w:val="00E90F4D"/>
    <w:rsid w:val="00E958E8"/>
    <w:rsid w:val="00EA4734"/>
    <w:rsid w:val="00EB2945"/>
    <w:rsid w:val="00EB58A5"/>
    <w:rsid w:val="00EF3A9C"/>
    <w:rsid w:val="00EF5307"/>
    <w:rsid w:val="00F01E49"/>
    <w:rsid w:val="00F23095"/>
    <w:rsid w:val="00F25B57"/>
    <w:rsid w:val="00F65BBF"/>
    <w:rsid w:val="00F6628E"/>
    <w:rsid w:val="00F74DFE"/>
    <w:rsid w:val="00F903CF"/>
    <w:rsid w:val="00F93D19"/>
    <w:rsid w:val="00FB0763"/>
    <w:rsid w:val="00FB78F8"/>
    <w:rsid w:val="00FD3541"/>
    <w:rsid w:val="00FD57D1"/>
    <w:rsid w:val="00FE0B7B"/>
    <w:rsid w:val="00FE1673"/>
    <w:rsid w:val="00FE172A"/>
    <w:rsid w:val="00FE62EC"/>
    <w:rsid w:val="00FF1F9A"/>
    <w:rsid w:val="00FF2EE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3F470"/>
  <w15:chartTrackingRefBased/>
  <w15:docId w15:val="{855B7FD2-4C0F-4C8A-A862-64E12DB9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4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4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4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4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4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4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4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4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4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4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4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4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439"/>
    <w:rPr>
      <w:rFonts w:eastAsiaTheme="majorEastAsia" w:cstheme="majorBidi"/>
      <w:color w:val="272727" w:themeColor="text1" w:themeTint="D8"/>
    </w:rPr>
  </w:style>
  <w:style w:type="paragraph" w:styleId="Title">
    <w:name w:val="Title"/>
    <w:basedOn w:val="Normal"/>
    <w:next w:val="Normal"/>
    <w:link w:val="TitleChar"/>
    <w:uiPriority w:val="10"/>
    <w:qFormat/>
    <w:rsid w:val="00C43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4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439"/>
    <w:pPr>
      <w:spacing w:before="160"/>
      <w:jc w:val="center"/>
    </w:pPr>
    <w:rPr>
      <w:i/>
      <w:iCs/>
      <w:color w:val="404040" w:themeColor="text1" w:themeTint="BF"/>
    </w:rPr>
  </w:style>
  <w:style w:type="character" w:customStyle="1" w:styleId="QuoteChar">
    <w:name w:val="Quote Char"/>
    <w:basedOn w:val="DefaultParagraphFont"/>
    <w:link w:val="Quote"/>
    <w:uiPriority w:val="29"/>
    <w:rsid w:val="00C43439"/>
    <w:rPr>
      <w:i/>
      <w:iCs/>
      <w:color w:val="404040" w:themeColor="text1" w:themeTint="BF"/>
    </w:rPr>
  </w:style>
  <w:style w:type="paragraph" w:styleId="ListParagraph">
    <w:name w:val="List Paragraph"/>
    <w:basedOn w:val="Normal"/>
    <w:uiPriority w:val="34"/>
    <w:qFormat/>
    <w:rsid w:val="00C43439"/>
    <w:pPr>
      <w:ind w:left="720"/>
      <w:contextualSpacing/>
    </w:pPr>
  </w:style>
  <w:style w:type="character" w:styleId="IntenseEmphasis">
    <w:name w:val="Intense Emphasis"/>
    <w:basedOn w:val="DefaultParagraphFont"/>
    <w:uiPriority w:val="21"/>
    <w:qFormat/>
    <w:rsid w:val="00C43439"/>
    <w:rPr>
      <w:i/>
      <w:iCs/>
      <w:color w:val="0F4761" w:themeColor="accent1" w:themeShade="BF"/>
    </w:rPr>
  </w:style>
  <w:style w:type="paragraph" w:styleId="IntenseQuote">
    <w:name w:val="Intense Quote"/>
    <w:basedOn w:val="Normal"/>
    <w:next w:val="Normal"/>
    <w:link w:val="IntenseQuoteChar"/>
    <w:uiPriority w:val="30"/>
    <w:qFormat/>
    <w:rsid w:val="00C43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439"/>
    <w:rPr>
      <w:i/>
      <w:iCs/>
      <w:color w:val="0F4761" w:themeColor="accent1" w:themeShade="BF"/>
    </w:rPr>
  </w:style>
  <w:style w:type="character" w:styleId="IntenseReference">
    <w:name w:val="Intense Reference"/>
    <w:basedOn w:val="DefaultParagraphFont"/>
    <w:uiPriority w:val="32"/>
    <w:qFormat/>
    <w:rsid w:val="00C43439"/>
    <w:rPr>
      <w:b/>
      <w:bCs/>
      <w:smallCaps/>
      <w:color w:val="0F4761" w:themeColor="accent1" w:themeShade="BF"/>
      <w:spacing w:val="5"/>
    </w:rPr>
  </w:style>
  <w:style w:type="character" w:styleId="Hyperlink">
    <w:name w:val="Hyperlink"/>
    <w:basedOn w:val="DefaultParagraphFont"/>
    <w:uiPriority w:val="99"/>
    <w:unhideWhenUsed/>
    <w:rsid w:val="00FE0B7B"/>
    <w:rPr>
      <w:color w:val="467886" w:themeColor="hyperlink"/>
      <w:u w:val="single"/>
    </w:rPr>
  </w:style>
  <w:style w:type="character" w:customStyle="1" w:styleId="UnresolvedMention1">
    <w:name w:val="Unresolved Mention1"/>
    <w:basedOn w:val="DefaultParagraphFont"/>
    <w:uiPriority w:val="99"/>
    <w:semiHidden/>
    <w:unhideWhenUsed/>
    <w:rsid w:val="00FE0B7B"/>
    <w:rPr>
      <w:color w:val="605E5C"/>
      <w:shd w:val="clear" w:color="auto" w:fill="E1DFDD"/>
    </w:rPr>
  </w:style>
  <w:style w:type="paragraph" w:styleId="Header">
    <w:name w:val="header"/>
    <w:basedOn w:val="Normal"/>
    <w:link w:val="HeaderChar"/>
    <w:uiPriority w:val="99"/>
    <w:unhideWhenUsed/>
    <w:rsid w:val="00306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D1F"/>
  </w:style>
  <w:style w:type="paragraph" w:styleId="Footer">
    <w:name w:val="footer"/>
    <w:basedOn w:val="Normal"/>
    <w:link w:val="FooterChar"/>
    <w:uiPriority w:val="99"/>
    <w:unhideWhenUsed/>
    <w:rsid w:val="00306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D1F"/>
  </w:style>
  <w:style w:type="character" w:styleId="UnresolvedMention">
    <w:name w:val="Unresolved Mention"/>
    <w:basedOn w:val="DefaultParagraphFont"/>
    <w:uiPriority w:val="99"/>
    <w:semiHidden/>
    <w:unhideWhenUsed/>
    <w:rsid w:val="00EF3A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55/s-0040-1718719" TargetMode="External"/><Relationship Id="rId26" Type="http://schemas.openxmlformats.org/officeDocument/2006/relationships/hyperlink" Target="https://doi.org/10.3389/neuro.02.008.2008" TargetMode="External"/><Relationship Id="rId21" Type="http://schemas.openxmlformats.org/officeDocument/2006/relationships/hyperlink" Target="https://doi.org/10.1152/physrev.00010.2016" TargetMode="External"/><Relationship Id="rId34" Type="http://schemas.openxmlformats.org/officeDocument/2006/relationships/hyperlink" Target="https://doi.org/10.3389/fphar.2025.1560392" TargetMode="Externa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doi.org/10.1007/978-3-030-54441-6_71" TargetMode="External"/><Relationship Id="rId25" Type="http://schemas.openxmlformats.org/officeDocument/2006/relationships/hyperlink" Target="https://doi.org/10.1529/biophysj.104.042358" TargetMode="External"/><Relationship Id="rId33" Type="http://schemas.openxmlformats.org/officeDocument/2006/relationships/hyperlink" Target="https://doi.org/10.1212/WNL.0000000000003796"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59/000503831" TargetMode="External"/><Relationship Id="rId20" Type="http://schemas.openxmlformats.org/officeDocument/2006/relationships/hyperlink" Target="https://doi.org/10.1007/s13311-020-00893-8" TargetMode="External"/><Relationship Id="rId29" Type="http://schemas.openxmlformats.org/officeDocument/2006/relationships/hyperlink" Target="https://doi.org/10.1111/ane.1369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doi.org/10.1002/ana.23756" TargetMode="External"/><Relationship Id="rId32" Type="http://schemas.openxmlformats.org/officeDocument/2006/relationships/hyperlink" Target="https://doi.org/10.1212/WNL.0000000000001907"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doi.org/10.1111/cen3.12765" TargetMode="External"/><Relationship Id="rId28" Type="http://schemas.openxmlformats.org/officeDocument/2006/relationships/hyperlink" Target="https://doi.org/10.3389/fnins.2024.1379933" TargetMode="External"/><Relationship Id="rId36" Type="http://schemas.openxmlformats.org/officeDocument/2006/relationships/hyperlink" Target="https://doi.org/10.38029/babcockuniv.med.j..v7i2.347" TargetMode="External"/><Relationship Id="rId10" Type="http://schemas.openxmlformats.org/officeDocument/2006/relationships/footer" Target="footer1.xml"/><Relationship Id="rId19" Type="http://schemas.openxmlformats.org/officeDocument/2006/relationships/hyperlink" Target="https://doi.org/10.3389/fepid.2023.1273163" TargetMode="External"/><Relationship Id="rId31" Type="http://schemas.openxmlformats.org/officeDocument/2006/relationships/hyperlink" Target="https://doi.org/10.20517/2347-8659.2020.29"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hyperlink" Target="https://doi.org/10.1007/s40265-022-01826-9" TargetMode="External"/><Relationship Id="rId27" Type="http://schemas.openxmlformats.org/officeDocument/2006/relationships/hyperlink" Target="https://doi.org/10.1152/jn.90261.2008" TargetMode="External"/><Relationship Id="rId30" Type="http://schemas.openxmlformats.org/officeDocument/2006/relationships/hyperlink" Target="https://doi.org/10.3390/ijms23126446" TargetMode="External"/><Relationship Id="rId35" Type="http://schemas.openxmlformats.org/officeDocument/2006/relationships/hyperlink" Target="https://doi.org/10.1016/j.tips.2024.09.004" TargetMode="External"/><Relationship Id="rId8" Type="http://schemas.openxmlformats.org/officeDocument/2006/relationships/header" Target="header1.xml"/><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publicdomain/zero/1.0/" TargetMode="External"/><Relationship Id="rId2" Type="http://schemas.openxmlformats.org/officeDocument/2006/relationships/hyperlink" Target="http://creativecommons.org/licenses/by/4.0/" TargetMode="External"/><Relationship Id="rId1" Type="http://schemas.openxmlformats.org/officeDocument/2006/relationships/hyperlink" Target="mailto:Ahmedka7722@gmail.com"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doi.org/10.38029/babcockuniv.med.j..v9iS1.1581"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4321</Words>
  <Characters>24632</Characters>
  <Application>Microsoft Office Word</Application>
  <DocSecurity>0</DocSecurity>
  <Lines>205</Lines>
  <Paragraphs>57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Olumide Abiodun</dc:creator>
  <cp:keywords/>
  <dc:description/>
  <cp:lastModifiedBy>HomePC</cp:lastModifiedBy>
  <cp:revision>2</cp:revision>
  <dcterms:created xsi:type="dcterms:W3CDTF">2026-07-22T07:07:00Z</dcterms:created>
  <dcterms:modified xsi:type="dcterms:W3CDTF">2026-07-22T07:07:00Z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0d91cc5f-249b-4165-9ac8-4dea7a7b15bc</vt:lpwstr>
  </property>
</Properties>
</file>