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5EEF" w14:textId="307B7C5A" w:rsidR="007466DD"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1239BE">
        <w:rPr>
          <w:noProof/>
        </w:rPr>
        <w:drawing>
          <wp:inline distT="0" distB="0" distL="0" distR="0" wp14:anchorId="0C5E52F4" wp14:editId="0B3CB6C4">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53FE612B" w14:textId="354A7540" w:rsidR="007466DD" w:rsidRPr="007466DD" w:rsidRDefault="004F5489" w:rsidP="007466DD">
      <w:pPr>
        <w:shd w:val="clear" w:color="auto" w:fill="FFFFFF"/>
        <w:spacing w:after="0" w:line="240" w:lineRule="auto"/>
        <w:rPr>
          <w:rFonts w:ascii="Arial" w:eastAsia="Times New Roman" w:hAnsi="Arial" w:cs="Arial"/>
          <w:color w:val="0F1115"/>
          <w:kern w:val="0"/>
          <w:sz w:val="44"/>
          <w:szCs w:val="44"/>
          <w:lang w:eastAsia="en-GB"/>
          <w14:ligatures w14:val="none"/>
        </w:rPr>
      </w:pPr>
      <w:r w:rsidRPr="007466DD">
        <w:rPr>
          <w:rFonts w:ascii="Arial" w:eastAsia="Times New Roman" w:hAnsi="Arial" w:cs="Arial"/>
          <w:color w:val="0F1115"/>
          <w:kern w:val="0"/>
          <w:sz w:val="44"/>
          <w:szCs w:val="44"/>
          <w:lang w:eastAsia="en-GB"/>
          <w14:ligatures w14:val="none"/>
        </w:rPr>
        <w:t xml:space="preserve">Matrix metalloproteinase-2 and inflammatory indices as discriminatory biomarkers for coronary artery ectasia versus stenosis: </w:t>
      </w:r>
      <w:r>
        <w:rPr>
          <w:rFonts w:ascii="Arial" w:eastAsia="Times New Roman" w:hAnsi="Arial" w:cs="Arial"/>
          <w:color w:val="0F1115"/>
          <w:kern w:val="0"/>
          <w:sz w:val="44"/>
          <w:szCs w:val="44"/>
          <w:lang w:eastAsia="en-GB"/>
          <w14:ligatures w14:val="none"/>
        </w:rPr>
        <w:t>A</w:t>
      </w:r>
      <w:r w:rsidRPr="007466DD">
        <w:rPr>
          <w:rFonts w:ascii="Arial" w:eastAsia="Times New Roman" w:hAnsi="Arial" w:cs="Arial"/>
          <w:color w:val="0F1115"/>
          <w:kern w:val="0"/>
          <w:sz w:val="44"/>
          <w:szCs w:val="44"/>
          <w:lang w:eastAsia="en-GB"/>
          <w14:ligatures w14:val="none"/>
        </w:rPr>
        <w:t xml:space="preserve"> cross-sectional study</w:t>
      </w:r>
    </w:p>
    <w:p w14:paraId="17B03502" w14:textId="5AE940A8" w:rsidR="00AB01AC" w:rsidRPr="004F5489" w:rsidRDefault="00AB01AC" w:rsidP="00CF61FD">
      <w:pPr>
        <w:shd w:val="clear" w:color="auto" w:fill="FFFFFF"/>
        <w:spacing w:after="0" w:line="240" w:lineRule="auto"/>
        <w:jc w:val="both"/>
        <w:rPr>
          <w:rFonts w:ascii="Arial" w:eastAsia="Times New Roman" w:hAnsi="Arial" w:cs="Arial"/>
          <w:color w:val="0F1115"/>
          <w:kern w:val="0"/>
          <w:vertAlign w:val="superscript"/>
          <w:lang w:eastAsia="en-GB"/>
          <w14:ligatures w14:val="none"/>
        </w:rPr>
      </w:pPr>
      <w:r w:rsidRPr="007466DD">
        <w:rPr>
          <w:rFonts w:ascii="Arial" w:eastAsia="Times New Roman" w:hAnsi="Arial" w:cs="Arial"/>
          <w:color w:val="0F1115"/>
          <w:kern w:val="0"/>
          <w:lang w:eastAsia="en-GB"/>
          <w14:ligatures w14:val="none"/>
        </w:rPr>
        <w:t>Jalil NI</w:t>
      </w:r>
      <w:r w:rsidR="004F5489">
        <w:rPr>
          <w:rFonts w:ascii="Arial" w:eastAsia="Times New Roman" w:hAnsi="Arial" w:cs="Arial"/>
          <w:color w:val="0F1115"/>
          <w:kern w:val="0"/>
          <w:vertAlign w:val="superscript"/>
          <w:lang w:eastAsia="en-GB"/>
          <w14:ligatures w14:val="none"/>
        </w:rPr>
        <w:t>1</w:t>
      </w:r>
      <w:r w:rsidRPr="007466DD">
        <w:rPr>
          <w:rFonts w:ascii="Arial" w:eastAsia="Times New Roman" w:hAnsi="Arial" w:cs="Arial"/>
          <w:color w:val="0F1115"/>
          <w:kern w:val="0"/>
          <w:lang w:eastAsia="en-GB"/>
          <w14:ligatures w14:val="none"/>
        </w:rPr>
        <w:t>, Al-Timimi RJ</w:t>
      </w:r>
      <w:r w:rsidR="004F5489">
        <w:rPr>
          <w:rFonts w:ascii="Arial" w:eastAsia="Times New Roman" w:hAnsi="Arial" w:cs="Arial"/>
          <w:color w:val="0F1115"/>
          <w:kern w:val="0"/>
          <w:vertAlign w:val="superscript"/>
          <w:lang w:eastAsia="en-GB"/>
          <w14:ligatures w14:val="none"/>
        </w:rPr>
        <w:t>2</w:t>
      </w:r>
      <w:r w:rsidRPr="007466DD">
        <w:rPr>
          <w:rFonts w:ascii="Arial" w:eastAsia="Times New Roman" w:hAnsi="Arial" w:cs="Arial"/>
          <w:color w:val="0F1115"/>
          <w:kern w:val="0"/>
          <w:lang w:eastAsia="en-GB"/>
          <w14:ligatures w14:val="none"/>
        </w:rPr>
        <w:t>, Al-Rubaye AS</w:t>
      </w:r>
      <w:r w:rsidR="004F5489">
        <w:rPr>
          <w:rFonts w:ascii="Arial" w:eastAsia="Times New Roman" w:hAnsi="Arial" w:cs="Arial"/>
          <w:color w:val="0F1115"/>
          <w:kern w:val="0"/>
          <w:vertAlign w:val="superscript"/>
          <w:lang w:eastAsia="en-GB"/>
          <w14:ligatures w14:val="none"/>
        </w:rPr>
        <w:t>1</w:t>
      </w:r>
    </w:p>
    <w:p w14:paraId="1A394C50" w14:textId="77777777" w:rsidR="007466DD" w:rsidRPr="00CF61FD" w:rsidRDefault="007466DD"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DEE4180" w14:textId="395BE721" w:rsidR="00AB01AC" w:rsidRPr="007466DD" w:rsidRDefault="007466DD" w:rsidP="004F5489">
      <w:pPr>
        <w:shd w:val="clear" w:color="auto" w:fill="FFFFFF"/>
        <w:spacing w:after="0" w:line="240" w:lineRule="auto"/>
        <w:rPr>
          <w:rFonts w:ascii="Arial" w:eastAsia="Times New Roman" w:hAnsi="Arial" w:cs="Arial"/>
          <w:i/>
          <w:iCs/>
          <w:color w:val="0F1115"/>
          <w:kern w:val="0"/>
          <w:sz w:val="20"/>
          <w:szCs w:val="20"/>
          <w:lang w:eastAsia="en-GB"/>
          <w14:ligatures w14:val="none"/>
        </w:rPr>
      </w:pPr>
      <w:r w:rsidRPr="007466DD">
        <w:rPr>
          <w:rFonts w:ascii="Arial" w:eastAsia="Times New Roman" w:hAnsi="Arial" w:cs="Arial"/>
          <w:i/>
          <w:iCs/>
          <w:color w:val="0F1115"/>
          <w:kern w:val="0"/>
          <w:sz w:val="20"/>
          <w:szCs w:val="20"/>
          <w:vertAlign w:val="superscript"/>
          <w:lang w:eastAsia="en-GB"/>
          <w14:ligatures w14:val="none"/>
        </w:rPr>
        <w:t>1</w:t>
      </w:r>
      <w:r w:rsidR="00AB01AC" w:rsidRPr="007466DD">
        <w:rPr>
          <w:rFonts w:ascii="Arial" w:eastAsia="Times New Roman" w:hAnsi="Arial" w:cs="Arial"/>
          <w:i/>
          <w:iCs/>
          <w:color w:val="0F1115"/>
          <w:kern w:val="0"/>
          <w:sz w:val="20"/>
          <w:szCs w:val="20"/>
          <w:lang w:eastAsia="en-GB"/>
          <w14:ligatures w14:val="none"/>
        </w:rPr>
        <w:t>Department of Chemistry and Biochemistry, College of Medicine, Al-Nahrain University, Baghdad, Iraq</w:t>
      </w:r>
      <w:r w:rsidR="00AB01AC" w:rsidRPr="007466DD">
        <w:rPr>
          <w:rFonts w:ascii="Arial" w:eastAsia="Times New Roman" w:hAnsi="Arial" w:cs="Arial"/>
          <w:i/>
          <w:iCs/>
          <w:color w:val="0F1115"/>
          <w:kern w:val="0"/>
          <w:sz w:val="20"/>
          <w:szCs w:val="20"/>
          <w:lang w:eastAsia="en-GB"/>
          <w14:ligatures w14:val="none"/>
        </w:rPr>
        <w:br/>
      </w:r>
      <w:r w:rsidRPr="007466DD">
        <w:rPr>
          <w:rFonts w:ascii="Arial" w:eastAsia="Times New Roman" w:hAnsi="Arial" w:cs="Arial"/>
          <w:i/>
          <w:iCs/>
          <w:color w:val="0F1115"/>
          <w:kern w:val="0"/>
          <w:sz w:val="20"/>
          <w:szCs w:val="20"/>
          <w:vertAlign w:val="superscript"/>
          <w:lang w:eastAsia="en-GB"/>
          <w14:ligatures w14:val="none"/>
        </w:rPr>
        <w:t>2</w:t>
      </w:r>
      <w:r w:rsidR="00AB01AC" w:rsidRPr="007466DD">
        <w:rPr>
          <w:rFonts w:ascii="Arial" w:eastAsia="Times New Roman" w:hAnsi="Arial" w:cs="Arial"/>
          <w:i/>
          <w:iCs/>
          <w:color w:val="0F1115"/>
          <w:kern w:val="0"/>
          <w:sz w:val="20"/>
          <w:szCs w:val="20"/>
          <w:lang w:eastAsia="en-GB"/>
          <w14:ligatures w14:val="none"/>
        </w:rPr>
        <w:t>Department of Medicine, College of Medicine, Al-Nahrain University, Baghdad, Iraq</w:t>
      </w:r>
    </w:p>
    <w:p w14:paraId="400D0716" w14:textId="77777777" w:rsidR="004F5489" w:rsidRDefault="004F5489" w:rsidP="004F5489">
      <w:pPr>
        <w:autoSpaceDE w:val="0"/>
        <w:autoSpaceDN w:val="0"/>
        <w:adjustRightInd w:val="0"/>
        <w:spacing w:after="0" w:line="240" w:lineRule="auto"/>
        <w:jc w:val="both"/>
        <w:rPr>
          <w:rFonts w:ascii="Arial" w:eastAsia="SimSun" w:hAnsi="Arial" w:cs="Arial"/>
          <w:i/>
          <w:iCs/>
          <w:color w:val="000000"/>
          <w:sz w:val="16"/>
          <w:szCs w:val="16"/>
        </w:rPr>
      </w:pPr>
    </w:p>
    <w:p w14:paraId="311351DE" w14:textId="2634017B" w:rsidR="004F5489" w:rsidRPr="004E7B52" w:rsidRDefault="004F5489" w:rsidP="004F5489">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Submitted: </w:t>
      </w:r>
      <w:r>
        <w:rPr>
          <w:rFonts w:ascii="Arial" w:eastAsia="SimSun" w:hAnsi="Arial" w:cs="Arial"/>
          <w:i/>
          <w:iCs/>
          <w:color w:val="000000"/>
          <w:sz w:val="16"/>
          <w:szCs w:val="16"/>
        </w:rPr>
        <w:t>14</w:t>
      </w:r>
      <w:r w:rsidRPr="00387799">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w:t>
      </w:r>
      <w:r w:rsidR="008F518C">
        <w:rPr>
          <w:rFonts w:ascii="Arial" w:eastAsia="SimSun" w:hAnsi="Arial" w:cs="Arial"/>
          <w:i/>
          <w:iCs/>
          <w:color w:val="000000"/>
          <w:sz w:val="16"/>
          <w:szCs w:val="16"/>
        </w:rPr>
        <w:t>January</w:t>
      </w:r>
      <w:r>
        <w:rPr>
          <w:rFonts w:ascii="Arial" w:eastAsia="SimSun" w:hAnsi="Arial" w:cs="Arial"/>
          <w:i/>
          <w:iCs/>
          <w:color w:val="000000"/>
          <w:sz w:val="16"/>
          <w:szCs w:val="16"/>
        </w:rPr>
        <w:t xml:space="preserve"> </w:t>
      </w:r>
      <w:r w:rsidRPr="004E7B52">
        <w:rPr>
          <w:rFonts w:ascii="Arial" w:eastAsia="SimSun" w:hAnsi="Arial" w:cs="Arial"/>
          <w:i/>
          <w:iCs/>
          <w:color w:val="000000"/>
          <w:sz w:val="16"/>
          <w:szCs w:val="16"/>
        </w:rPr>
        <w:t>2026</w:t>
      </w:r>
    </w:p>
    <w:p w14:paraId="4D388C29" w14:textId="77777777" w:rsidR="004F5489" w:rsidRPr="004E7B52" w:rsidRDefault="004F5489" w:rsidP="004F5489">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Accepted: </w:t>
      </w:r>
      <w:r>
        <w:rPr>
          <w:rFonts w:ascii="Arial" w:eastAsia="SimSun" w:hAnsi="Arial" w:cs="Arial"/>
          <w:i/>
          <w:iCs/>
          <w:color w:val="000000"/>
          <w:sz w:val="16"/>
          <w:szCs w:val="16"/>
        </w:rPr>
        <w:t>16</w:t>
      </w:r>
      <w:r w:rsidRPr="004E7B52">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May </w:t>
      </w:r>
      <w:r w:rsidRPr="004E7B52">
        <w:rPr>
          <w:rFonts w:ascii="Arial" w:eastAsia="SimSun" w:hAnsi="Arial" w:cs="Arial"/>
          <w:i/>
          <w:iCs/>
          <w:color w:val="000000"/>
          <w:sz w:val="16"/>
          <w:szCs w:val="16"/>
        </w:rPr>
        <w:t>2026</w:t>
      </w:r>
    </w:p>
    <w:p w14:paraId="0D65EAEC" w14:textId="738CD463" w:rsidR="004F5489" w:rsidRPr="004E7B52" w:rsidRDefault="004F5489" w:rsidP="004F5489">
      <w:pPr>
        <w:autoSpaceDE w:val="0"/>
        <w:autoSpaceDN w:val="0"/>
        <w:adjustRightInd w:val="0"/>
        <w:spacing w:after="0" w:line="240" w:lineRule="auto"/>
        <w:jc w:val="both"/>
        <w:rPr>
          <w:rFonts w:ascii="Arial" w:eastAsia="SimSun" w:hAnsi="Arial" w:cs="Arial"/>
          <w:i/>
          <w:iCs/>
          <w:color w:val="000000"/>
          <w:sz w:val="16"/>
          <w:szCs w:val="16"/>
        </w:rPr>
      </w:pPr>
      <w:r w:rsidRPr="004E7B52">
        <w:rPr>
          <w:rFonts w:ascii="Arial" w:eastAsia="SimSun" w:hAnsi="Arial" w:cs="Arial"/>
          <w:i/>
          <w:iCs/>
          <w:color w:val="000000"/>
          <w:sz w:val="16"/>
          <w:szCs w:val="16"/>
        </w:rPr>
        <w:t>Published: 3</w:t>
      </w:r>
      <w:r w:rsidR="00AC7FBF">
        <w:rPr>
          <w:rFonts w:ascii="Arial" w:eastAsia="SimSun" w:hAnsi="Arial" w:cs="Arial"/>
          <w:i/>
          <w:iCs/>
          <w:color w:val="000000"/>
          <w:sz w:val="16"/>
          <w:szCs w:val="16"/>
        </w:rPr>
        <w:t>1</w:t>
      </w:r>
      <w:r w:rsidR="00AC7FBF" w:rsidRPr="00AC7FBF">
        <w:rPr>
          <w:rFonts w:ascii="Arial" w:eastAsia="SimSun" w:hAnsi="Arial" w:cs="Arial"/>
          <w:i/>
          <w:iCs/>
          <w:color w:val="000000"/>
          <w:sz w:val="16"/>
          <w:szCs w:val="16"/>
          <w:vertAlign w:val="superscript"/>
        </w:rPr>
        <w:t>st</w:t>
      </w:r>
      <w:r w:rsidR="00AC7FBF">
        <w:rPr>
          <w:rFonts w:ascii="Arial" w:eastAsia="SimSun" w:hAnsi="Arial" w:cs="Arial"/>
          <w:i/>
          <w:iCs/>
          <w:color w:val="000000"/>
          <w:sz w:val="16"/>
          <w:szCs w:val="16"/>
        </w:rPr>
        <w:t xml:space="preserve"> </w:t>
      </w:r>
      <w:r w:rsidR="0072126B">
        <w:rPr>
          <w:rFonts w:ascii="Arial" w:eastAsia="SimSun" w:hAnsi="Arial" w:cs="Arial"/>
          <w:i/>
          <w:iCs/>
          <w:color w:val="000000"/>
          <w:sz w:val="16"/>
          <w:szCs w:val="16"/>
        </w:rPr>
        <w:t>October</w:t>
      </w:r>
      <w:r w:rsidRPr="004E7B52">
        <w:rPr>
          <w:rFonts w:ascii="Arial" w:eastAsia="SimSun" w:hAnsi="Arial" w:cs="Arial"/>
          <w:i/>
          <w:iCs/>
          <w:color w:val="000000"/>
          <w:sz w:val="16"/>
          <w:szCs w:val="16"/>
        </w:rPr>
        <w:t xml:space="preserve"> 2026</w:t>
      </w:r>
    </w:p>
    <w:p w14:paraId="19F21409" w14:textId="77777777" w:rsidR="004F5489" w:rsidRPr="00E968EA" w:rsidRDefault="004F5489" w:rsidP="004F5489">
      <w:pPr>
        <w:spacing w:after="0" w:line="240" w:lineRule="auto"/>
        <w:jc w:val="both"/>
        <w:rPr>
          <w:rFonts w:ascii="Arial" w:eastAsia="Calibri" w:hAnsi="Arial" w:cs="Arial"/>
          <w:kern w:val="0"/>
          <w:sz w:val="20"/>
          <w:szCs w:val="20"/>
          <w14:ligatures w14:val="none"/>
        </w:rPr>
      </w:pPr>
      <w:r w:rsidRPr="004E7B52">
        <w:rPr>
          <w:rFonts w:ascii="Arial" w:eastAsia="Calibri" w:hAnsi="Arial" w:cs="Arial"/>
          <w:color w:val="0000FF"/>
          <w:kern w:val="0"/>
          <w:sz w:val="20"/>
          <w:szCs w:val="20"/>
          <w:u w:val="single"/>
          <w14:ligatures w14:val="none"/>
        </w:rPr>
        <w:t>ID</w:t>
      </w:r>
      <w:r w:rsidRPr="004E7B52">
        <w:rPr>
          <w:rFonts w:ascii="Arial" w:eastAsia="Calibri" w:hAnsi="Arial" w:cs="Arial"/>
          <w:kern w:val="0"/>
          <w:sz w:val="20"/>
          <w:szCs w:val="20"/>
          <w14:ligatures w14:val="none"/>
        </w:rPr>
        <w:t>: Orcid ID</w:t>
      </w:r>
    </w:p>
    <w:p w14:paraId="4F4DC223" w14:textId="3DABEA44" w:rsidR="007466DD" w:rsidRP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1239BE">
        <w:rPr>
          <w:noProof/>
          <w:lang w:eastAsia="en-GB"/>
        </w:rPr>
        <mc:AlternateContent>
          <mc:Choice Requires="wps">
            <w:drawing>
              <wp:anchor distT="0" distB="0" distL="114300" distR="114300" simplePos="0" relativeHeight="251659264" behindDoc="0" locked="0" layoutInCell="1" allowOverlap="1" wp14:anchorId="000974C1" wp14:editId="0825856E">
                <wp:simplePos x="0" y="0"/>
                <wp:positionH relativeFrom="margin">
                  <wp:align>right</wp:align>
                </wp:positionH>
                <wp:positionV relativeFrom="paragraph">
                  <wp:posOffset>144780</wp:posOffset>
                </wp:positionV>
                <wp:extent cx="5715000" cy="3003550"/>
                <wp:effectExtent l="0" t="0" r="19050" b="25400"/>
                <wp:wrapNone/>
                <wp:docPr id="765421686" name="Rectangle 17"/>
                <wp:cNvGraphicFramePr/>
                <a:graphic xmlns:a="http://schemas.openxmlformats.org/drawingml/2006/main">
                  <a:graphicData uri="http://schemas.microsoft.com/office/word/2010/wordprocessingShape">
                    <wps:wsp>
                      <wps:cNvSpPr/>
                      <wps:spPr>
                        <a:xfrm>
                          <a:off x="0" y="0"/>
                          <a:ext cx="5715000" cy="3003550"/>
                        </a:xfrm>
                        <a:prstGeom prst="rect">
                          <a:avLst/>
                        </a:prstGeom>
                        <a:solidFill>
                          <a:srgbClr val="5B9BD5"/>
                        </a:solidFill>
                        <a:ln w="12700" cap="flat" cmpd="sng" algn="ctr">
                          <a:solidFill>
                            <a:srgbClr val="5B9BD5">
                              <a:shade val="50000"/>
                            </a:srgbClr>
                          </a:solidFill>
                          <a:prstDash val="solid"/>
                          <a:miter lim="800000"/>
                        </a:ln>
                        <a:effectLst/>
                      </wps:spPr>
                      <wps:txbx>
                        <w:txbxContent>
                          <w:p w14:paraId="1A7ACCA0" w14:textId="77777777" w:rsidR="004F5489" w:rsidRDefault="004F5489" w:rsidP="004F5489">
                            <w:pPr>
                              <w:spacing w:after="0" w:line="240" w:lineRule="auto"/>
                              <w:jc w:val="both"/>
                              <w:rPr>
                                <w:rFonts w:ascii="Arial" w:hAnsi="Arial" w:cs="Arial"/>
                                <w:b/>
                                <w:sz w:val="18"/>
                                <w:szCs w:val="18"/>
                              </w:rPr>
                            </w:pPr>
                            <w:r w:rsidRPr="001239BE">
                              <w:rPr>
                                <w:rFonts w:ascii="Arial" w:hAnsi="Arial" w:cs="Arial"/>
                                <w:b/>
                                <w:sz w:val="18"/>
                                <w:szCs w:val="18"/>
                              </w:rPr>
                              <w:t>Abstract</w:t>
                            </w:r>
                          </w:p>
                          <w:p w14:paraId="043CED48"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Objective:</w:t>
                            </w:r>
                            <w:r w:rsidRPr="004F5489">
                              <w:rPr>
                                <w:rFonts w:ascii="Arial" w:hAnsi="Arial" w:cs="Arial"/>
                                <w:bCs/>
                                <w:sz w:val="18"/>
                                <w:szCs w:val="18"/>
                              </w:rPr>
                              <w:t> To evaluate serum matrix metalloproteinase-2 (MMP-2), neutrophil-to-lymphocyte ratio (NLR), platelet-to-lymphocyte ratio (PLR), red cell distribution width (RDW), and lipid profiles for discriminating coronary artery ectasia (CAE) from coronary artery stenosis (CAS) and healthy controls.</w:t>
                            </w:r>
                          </w:p>
                          <w:p w14:paraId="30679941"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Methods:</w:t>
                            </w:r>
                            <w:r w:rsidRPr="004F5489">
                              <w:rPr>
                                <w:rFonts w:ascii="Arial" w:hAnsi="Arial" w:cs="Arial"/>
                                <w:bCs/>
                                <w:sz w:val="18"/>
                                <w:szCs w:val="18"/>
                              </w:rPr>
                              <w:t> This cross-sectional study enrolled 120 participants (40 with angiographically confirmed CAE, 40 with CAS, and 40 healthy controls) between November 2024 and March 2025. Serum MMP-2 was measured using an enzyme-linked immunosorbent assay. Lipid profiles and complete blood counts were determined using automated analysers. Group comparisons employed Kruskal–Wallis H tests with Bonferroni correction. Receiver operating characteristic (ROC) curve analysis assessed diagnostic performance.</w:t>
                            </w:r>
                          </w:p>
                          <w:p w14:paraId="116F3200"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Results:</w:t>
                            </w:r>
                            <w:r w:rsidRPr="004F5489">
                              <w:rPr>
                                <w:rFonts w:ascii="Arial" w:hAnsi="Arial" w:cs="Arial"/>
                                <w:bCs/>
                                <w:sz w:val="18"/>
                                <w:szCs w:val="18"/>
                              </w:rPr>
                              <w:t> MMP-2 levels were significantly elevated in CAE (73.48 ± 7.65 ng/mL) compared to CAS (38.49 ± 4.40 ng/mL) and controls (15.01 ± 4.70 ng/mL) (p &lt; 0.001 for all pairwise comparisons). ROC analysis demonstrated excellent discrimination (area under the curve = 1.000) for distinguishing CAE from both CAS and controls, though this finding requires validation in larger cohorts. The CAE group exhibited the most severe atherogenic dyslipidaemia, with the highest total cholesterol, triglycerides, and lowest high-density lipoprotein cholesterol. Inflammatory indices (NLR, PLR, RDW) were significantly higher in CAE than in CAS and controls (p &lt; 0.001), indicating a pronounced neutrophil-dominant inflammatory milieu in ectatic disease.</w:t>
                            </w:r>
                          </w:p>
                          <w:p w14:paraId="71DDE63D"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Conclusion:</w:t>
                            </w:r>
                            <w:r w:rsidRPr="004F5489">
                              <w:rPr>
                                <w:rFonts w:ascii="Arial" w:hAnsi="Arial" w:cs="Arial"/>
                                <w:bCs/>
                                <w:sz w:val="18"/>
                                <w:szCs w:val="18"/>
                              </w:rPr>
                              <w:t> Marked MMP-2 elevation combined with severe dyslipidaemia and amplified inflammatory indices distinguishes CAE from CAS, suggesting that excessive proteolytic and inflammatory pathways drive pathological vascular dilation in coronary artery ectasia.</w:t>
                            </w:r>
                          </w:p>
                          <w:p w14:paraId="68D6B3DC" w14:textId="77777777" w:rsidR="004F5489" w:rsidRPr="004F5489" w:rsidRDefault="004F5489" w:rsidP="004F5489">
                            <w:pPr>
                              <w:spacing w:after="0" w:line="240" w:lineRule="auto"/>
                              <w:jc w:val="both"/>
                              <w:rPr>
                                <w:rFonts w:ascii="Arial" w:hAnsi="Arial" w:cs="Arial"/>
                                <w:bCs/>
                                <w:sz w:val="18"/>
                                <w:szCs w:val="18"/>
                              </w:rPr>
                            </w:pPr>
                          </w:p>
                          <w:p w14:paraId="0FBEE8F3" w14:textId="69CCC2F8" w:rsidR="004F5489" w:rsidRPr="004F5489" w:rsidRDefault="004F5489" w:rsidP="004F5489">
                            <w:pPr>
                              <w:spacing w:after="0" w:line="240" w:lineRule="auto"/>
                              <w:jc w:val="center"/>
                              <w:rPr>
                                <w:rFonts w:ascii="Arial" w:hAnsi="Arial" w:cs="Arial"/>
                                <w:bCs/>
                                <w:sz w:val="18"/>
                                <w:szCs w:val="18"/>
                              </w:rPr>
                            </w:pPr>
                            <w:r w:rsidRPr="004F5489">
                              <w:rPr>
                                <w:rFonts w:ascii="Arial" w:hAnsi="Arial" w:cs="Arial"/>
                                <w:b/>
                                <w:bCs/>
                                <w:sz w:val="18"/>
                                <w:szCs w:val="18"/>
                              </w:rPr>
                              <w:t>Keywords:</w:t>
                            </w:r>
                            <w:r w:rsidRPr="004F5489">
                              <w:rPr>
                                <w:rFonts w:ascii="Arial" w:hAnsi="Arial" w:cs="Arial"/>
                                <w:bCs/>
                                <w:sz w:val="18"/>
                                <w:szCs w:val="18"/>
                              </w:rPr>
                              <w:t> Coronary Artery Disease</w:t>
                            </w:r>
                            <w:r w:rsidR="00543B95">
                              <w:rPr>
                                <w:rFonts w:ascii="Arial" w:hAnsi="Arial" w:cs="Arial"/>
                                <w:bCs/>
                                <w:sz w:val="18"/>
                                <w:szCs w:val="18"/>
                              </w:rPr>
                              <w:t>,</w:t>
                            </w:r>
                            <w:r w:rsidRPr="004F5489">
                              <w:rPr>
                                <w:rFonts w:ascii="Arial" w:hAnsi="Arial" w:cs="Arial"/>
                                <w:bCs/>
                                <w:sz w:val="18"/>
                                <w:szCs w:val="18"/>
                              </w:rPr>
                              <w:t xml:space="preserve"> Coronary Aneurysm</w:t>
                            </w:r>
                            <w:r w:rsidR="00543B95">
                              <w:rPr>
                                <w:rFonts w:ascii="Arial" w:hAnsi="Arial" w:cs="Arial"/>
                                <w:bCs/>
                                <w:sz w:val="18"/>
                                <w:szCs w:val="18"/>
                              </w:rPr>
                              <w:t>,</w:t>
                            </w:r>
                            <w:r w:rsidRPr="004F5489">
                              <w:rPr>
                                <w:rFonts w:ascii="Arial" w:hAnsi="Arial" w:cs="Arial"/>
                                <w:bCs/>
                                <w:sz w:val="18"/>
                                <w:szCs w:val="18"/>
                              </w:rPr>
                              <w:t xml:space="preserve"> Matrix Metalloproteinase 2</w:t>
                            </w:r>
                            <w:r w:rsidR="00543B95">
                              <w:rPr>
                                <w:rFonts w:ascii="Arial" w:hAnsi="Arial" w:cs="Arial"/>
                                <w:bCs/>
                                <w:sz w:val="18"/>
                                <w:szCs w:val="18"/>
                              </w:rPr>
                              <w:t>,</w:t>
                            </w:r>
                            <w:r w:rsidRPr="004F5489">
                              <w:rPr>
                                <w:rFonts w:ascii="Arial" w:hAnsi="Arial" w:cs="Arial"/>
                                <w:bCs/>
                                <w:sz w:val="18"/>
                                <w:szCs w:val="18"/>
                              </w:rPr>
                              <w:t xml:space="preserve"> Inflammation</w:t>
                            </w:r>
                            <w:r w:rsidR="00543B95">
                              <w:rPr>
                                <w:rFonts w:ascii="Arial" w:hAnsi="Arial" w:cs="Arial"/>
                                <w:bCs/>
                                <w:sz w:val="18"/>
                                <w:szCs w:val="18"/>
                              </w:rPr>
                              <w:t>,</w:t>
                            </w:r>
                            <w:r w:rsidRPr="004F5489">
                              <w:rPr>
                                <w:rFonts w:ascii="Arial" w:hAnsi="Arial" w:cs="Arial"/>
                                <w:bCs/>
                                <w:sz w:val="18"/>
                                <w:szCs w:val="18"/>
                              </w:rPr>
                              <w:t xml:space="preserve"> Dyslipidaemias</w:t>
                            </w:r>
                          </w:p>
                          <w:p w14:paraId="1D3B9362" w14:textId="77777777" w:rsidR="004F5489" w:rsidRPr="00122E71" w:rsidRDefault="004F5489" w:rsidP="004F5489">
                            <w:pPr>
                              <w:spacing w:after="0" w:line="240" w:lineRule="auto"/>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974C1" id="Rectangle 17" o:spid="_x0000_s1026" style="position:absolute;left:0;text-align:left;margin-left:398.8pt;margin-top:11.4pt;width:450pt;height:23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" fillcolor="#5b9bd5" strokecolor="#41719c" strokeweight="1pt">
                <v:textbox>
                  <w:txbxContent>
                    <w:p w14:paraId="1A7ACCA0" w14:textId="77777777" w:rsidR="004F5489" w:rsidRDefault="004F5489" w:rsidP="004F5489">
                      <w:pPr>
                        <w:spacing w:after="0" w:line="240" w:lineRule="auto"/>
                        <w:jc w:val="both"/>
                        <w:rPr>
                          <w:rFonts w:ascii="Arial" w:hAnsi="Arial" w:cs="Arial"/>
                          <w:b/>
                          <w:sz w:val="18"/>
                          <w:szCs w:val="18"/>
                        </w:rPr>
                      </w:pPr>
                      <w:r w:rsidRPr="001239BE">
                        <w:rPr>
                          <w:rFonts w:ascii="Arial" w:hAnsi="Arial" w:cs="Arial"/>
                          <w:b/>
                          <w:sz w:val="18"/>
                          <w:szCs w:val="18"/>
                        </w:rPr>
                        <w:t>Abstract</w:t>
                      </w:r>
                    </w:p>
                    <w:p w14:paraId="043CED48"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Objective:</w:t>
                      </w:r>
                      <w:r w:rsidRPr="004F5489">
                        <w:rPr>
                          <w:rFonts w:ascii="Arial" w:hAnsi="Arial" w:cs="Arial"/>
                          <w:bCs/>
                          <w:sz w:val="18"/>
                          <w:szCs w:val="18"/>
                        </w:rPr>
                        <w:t> To evaluate serum matrix metalloproteinase-2 (MMP-2), neutrophil-to-lymphocyte ratio (NLR), platelet-to-lymphocyte ratio (PLR), red cell distribution width (RDW), and lipid profiles for discriminating coronary artery ectasia (CAE) from coronary artery stenosis (CAS) and healthy controls.</w:t>
                      </w:r>
                    </w:p>
                    <w:p w14:paraId="30679941"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Methods:</w:t>
                      </w:r>
                      <w:r w:rsidRPr="004F5489">
                        <w:rPr>
                          <w:rFonts w:ascii="Arial" w:hAnsi="Arial" w:cs="Arial"/>
                          <w:bCs/>
                          <w:sz w:val="18"/>
                          <w:szCs w:val="18"/>
                        </w:rPr>
                        <w:t> This cross-sectional study enrolled 120 participants (40 with angiographically confirmed CAE, 40 with CAS, and 40 healthy controls) between November 2024 and March 2025. Serum MMP-2 was measured using an enzyme-linked immunosorbent assay. Lipid profiles and complete blood counts were determined using automated analysers. Group comparisons employed Kruskal–Wallis H tests with Bonferroni correction. Receiver operating characteristic (ROC) curve analysis assessed diagnostic performance.</w:t>
                      </w:r>
                    </w:p>
                    <w:p w14:paraId="116F3200"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Results:</w:t>
                      </w:r>
                      <w:r w:rsidRPr="004F5489">
                        <w:rPr>
                          <w:rFonts w:ascii="Arial" w:hAnsi="Arial" w:cs="Arial"/>
                          <w:bCs/>
                          <w:sz w:val="18"/>
                          <w:szCs w:val="18"/>
                        </w:rPr>
                        <w:t> MMP-2 levels were significantly elevated in CAE (73.48 ± 7.65 ng/mL) compared to CAS (38.49 ± 4.40 ng/mL) and controls (15.01 ± 4.70 ng/mL) (p &lt; 0.001 for all pairwise comparisons). ROC analysis demonstrated excellent discrimination (area under the curve = 1.000) for distinguishing CAE from both CAS and controls, though this finding requires validation in larger cohorts. The CAE group exhibited the most severe atherogenic dyslipidaemia, with the highest total cholesterol, triglycerides, and lowest high-density lipoprotein cholesterol. Inflammatory indices (NLR, PLR, RDW) were significantly higher in CAE than in CAS and controls (p &lt; 0.001), indicating a pronounced neutrophil-dominant inflammatory milieu in ectatic disease.</w:t>
                      </w:r>
                    </w:p>
                    <w:p w14:paraId="71DDE63D" w14:textId="77777777" w:rsidR="004F5489" w:rsidRPr="004F5489" w:rsidRDefault="004F5489" w:rsidP="004F5489">
                      <w:pPr>
                        <w:spacing w:after="0" w:line="240" w:lineRule="auto"/>
                        <w:jc w:val="both"/>
                        <w:rPr>
                          <w:rFonts w:ascii="Arial" w:hAnsi="Arial" w:cs="Arial"/>
                          <w:bCs/>
                          <w:sz w:val="18"/>
                          <w:szCs w:val="18"/>
                        </w:rPr>
                      </w:pPr>
                      <w:r w:rsidRPr="004F5489">
                        <w:rPr>
                          <w:rFonts w:ascii="Arial" w:hAnsi="Arial" w:cs="Arial"/>
                          <w:b/>
                          <w:bCs/>
                          <w:sz w:val="18"/>
                          <w:szCs w:val="18"/>
                        </w:rPr>
                        <w:t>Conclusion:</w:t>
                      </w:r>
                      <w:r w:rsidRPr="004F5489">
                        <w:rPr>
                          <w:rFonts w:ascii="Arial" w:hAnsi="Arial" w:cs="Arial"/>
                          <w:bCs/>
                          <w:sz w:val="18"/>
                          <w:szCs w:val="18"/>
                        </w:rPr>
                        <w:t> Marked MMP-2 elevation combined with severe dyslipidaemia and amplified inflammatory indices distinguishes CAE from CAS, suggesting that excessive proteolytic and inflammatory pathways drive pathological vascular dilation in coronary artery ectasia.</w:t>
                      </w:r>
                    </w:p>
                    <w:p w14:paraId="68D6B3DC" w14:textId="77777777" w:rsidR="004F5489" w:rsidRPr="004F5489" w:rsidRDefault="004F5489" w:rsidP="004F5489">
                      <w:pPr>
                        <w:spacing w:after="0" w:line="240" w:lineRule="auto"/>
                        <w:jc w:val="both"/>
                        <w:rPr>
                          <w:rFonts w:ascii="Arial" w:hAnsi="Arial" w:cs="Arial"/>
                          <w:bCs/>
                          <w:sz w:val="18"/>
                          <w:szCs w:val="18"/>
                        </w:rPr>
                      </w:pPr>
                    </w:p>
                    <w:p w14:paraId="0FBEE8F3" w14:textId="69CCC2F8" w:rsidR="004F5489" w:rsidRPr="004F5489" w:rsidRDefault="004F5489" w:rsidP="004F5489">
                      <w:pPr>
                        <w:spacing w:after="0" w:line="240" w:lineRule="auto"/>
                        <w:jc w:val="center"/>
                        <w:rPr>
                          <w:rFonts w:ascii="Arial" w:hAnsi="Arial" w:cs="Arial"/>
                          <w:bCs/>
                          <w:sz w:val="18"/>
                          <w:szCs w:val="18"/>
                        </w:rPr>
                      </w:pPr>
                      <w:r w:rsidRPr="004F5489">
                        <w:rPr>
                          <w:rFonts w:ascii="Arial" w:hAnsi="Arial" w:cs="Arial"/>
                          <w:b/>
                          <w:bCs/>
                          <w:sz w:val="18"/>
                          <w:szCs w:val="18"/>
                        </w:rPr>
                        <w:t>Keywords:</w:t>
                      </w:r>
                      <w:r w:rsidRPr="004F5489">
                        <w:rPr>
                          <w:rFonts w:ascii="Arial" w:hAnsi="Arial" w:cs="Arial"/>
                          <w:bCs/>
                          <w:sz w:val="18"/>
                          <w:szCs w:val="18"/>
                        </w:rPr>
                        <w:t> Coronary Artery Disease</w:t>
                      </w:r>
                      <w:r w:rsidR="00543B95">
                        <w:rPr>
                          <w:rFonts w:ascii="Arial" w:hAnsi="Arial" w:cs="Arial"/>
                          <w:bCs/>
                          <w:sz w:val="18"/>
                          <w:szCs w:val="18"/>
                        </w:rPr>
                        <w:t>,</w:t>
                      </w:r>
                      <w:r w:rsidRPr="004F5489">
                        <w:rPr>
                          <w:rFonts w:ascii="Arial" w:hAnsi="Arial" w:cs="Arial"/>
                          <w:bCs/>
                          <w:sz w:val="18"/>
                          <w:szCs w:val="18"/>
                        </w:rPr>
                        <w:t xml:space="preserve"> Coronary Aneurysm</w:t>
                      </w:r>
                      <w:r w:rsidR="00543B95">
                        <w:rPr>
                          <w:rFonts w:ascii="Arial" w:hAnsi="Arial" w:cs="Arial"/>
                          <w:bCs/>
                          <w:sz w:val="18"/>
                          <w:szCs w:val="18"/>
                        </w:rPr>
                        <w:t>,</w:t>
                      </w:r>
                      <w:r w:rsidRPr="004F5489">
                        <w:rPr>
                          <w:rFonts w:ascii="Arial" w:hAnsi="Arial" w:cs="Arial"/>
                          <w:bCs/>
                          <w:sz w:val="18"/>
                          <w:szCs w:val="18"/>
                        </w:rPr>
                        <w:t xml:space="preserve"> Matrix Metalloproteinase 2</w:t>
                      </w:r>
                      <w:r w:rsidR="00543B95">
                        <w:rPr>
                          <w:rFonts w:ascii="Arial" w:hAnsi="Arial" w:cs="Arial"/>
                          <w:bCs/>
                          <w:sz w:val="18"/>
                          <w:szCs w:val="18"/>
                        </w:rPr>
                        <w:t>,</w:t>
                      </w:r>
                      <w:r w:rsidRPr="004F5489">
                        <w:rPr>
                          <w:rFonts w:ascii="Arial" w:hAnsi="Arial" w:cs="Arial"/>
                          <w:bCs/>
                          <w:sz w:val="18"/>
                          <w:szCs w:val="18"/>
                        </w:rPr>
                        <w:t xml:space="preserve"> Inflammation</w:t>
                      </w:r>
                      <w:r w:rsidR="00543B95">
                        <w:rPr>
                          <w:rFonts w:ascii="Arial" w:hAnsi="Arial" w:cs="Arial"/>
                          <w:bCs/>
                          <w:sz w:val="18"/>
                          <w:szCs w:val="18"/>
                        </w:rPr>
                        <w:t>,</w:t>
                      </w:r>
                      <w:r w:rsidRPr="004F5489">
                        <w:rPr>
                          <w:rFonts w:ascii="Arial" w:hAnsi="Arial" w:cs="Arial"/>
                          <w:bCs/>
                          <w:sz w:val="18"/>
                          <w:szCs w:val="18"/>
                        </w:rPr>
                        <w:t xml:space="preserve"> Dyslipidaemias</w:t>
                      </w:r>
                    </w:p>
                    <w:p w14:paraId="1D3B9362" w14:textId="77777777" w:rsidR="004F5489" w:rsidRPr="00122E71" w:rsidRDefault="004F5489" w:rsidP="004F5489">
                      <w:pPr>
                        <w:spacing w:after="0" w:line="240" w:lineRule="auto"/>
                        <w:jc w:val="both"/>
                        <w:rPr>
                          <w:rFonts w:ascii="Arial" w:hAnsi="Arial" w:cs="Arial"/>
                          <w:bCs/>
                          <w:sz w:val="18"/>
                          <w:szCs w:val="18"/>
                        </w:rPr>
                      </w:pPr>
                    </w:p>
                  </w:txbxContent>
                </v:textbox>
                <w10:wrap anchorx="margin"/>
              </v:rect>
            </w:pict>
          </mc:Fallback>
        </mc:AlternateContent>
      </w:r>
    </w:p>
    <w:p w14:paraId="466DD8ED" w14:textId="048356F7" w:rsidR="007466DD" w:rsidRDefault="007466DD"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4E87B3E"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3028CD6"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A61720B"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A1D3DC0"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4F34B53"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958788F"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CF1F1A5"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94EC7E1"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FC44BB6"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10A5597"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31F45BA"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3D28BD6"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5260E48"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D42FA00"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D049CF0"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C27A369"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ABED889"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5EEDEE2"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C1F56BF"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E696975" w14:textId="77777777" w:rsidR="004F5489" w:rsidRDefault="004F548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F82912D" w14:textId="030ED75F"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0F082F89"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Plain English Summary</w:t>
      </w:r>
    </w:p>
    <w:p w14:paraId="4814597C"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This study examined whether specific blood markers can help doctors distinguish between two different forms of coronary artery disease: ectasia, where the arteries become abnormally widened, and stenosis, where they become narrowed by plaque buildup. The researchers measured an enzyme called MMP-2 (which breaks down the structural proteins of blood vessel walls), several markers of inflammation (including the ratio of neutrophils to lymphocytes, platelets to lymphocytes, and red cell distribution width), and cholesterol levels in 120 people. Among these participants, 40 had coronary artery ectasia, 40 had coronary artery stenosis, and 40 were healthy volunteers. The results showed that people with ectasia had MMP-2 levels nearly five times higher than healthy individuals and roughly </w:t>
      </w:r>
      <w:r w:rsidRPr="00CF61FD">
        <w:rPr>
          <w:rFonts w:ascii="Arial" w:eastAsia="Times New Roman" w:hAnsi="Arial" w:cs="Arial"/>
          <w:color w:val="0F1115"/>
          <w:kern w:val="0"/>
          <w:sz w:val="20"/>
          <w:szCs w:val="20"/>
          <w:lang w:eastAsia="en-GB"/>
          <w14:ligatures w14:val="none"/>
        </w:rPr>
        <w:lastRenderedPageBreak/>
        <w:t>twice as high as those with stenosis. Patients with ectasia also had worse cholesterol profiles and higher inflammation markers compared to both stenosis patients and healthy controls. These findings suggest that different biological mechanisms drive artery widening versus narrowing, and that measuring MMP-2 and inflammation markers could help doctors better identify which type of artery disease a patient has. However, because this study was relatively small, larger studies are needed to confirm these results before they can be used in routine clinical practice.</w:t>
      </w:r>
    </w:p>
    <w:p w14:paraId="4FB9C529" w14:textId="7CC4D070"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4927366C" w14:textId="77777777" w:rsidR="00962F78" w:rsidRDefault="00962F78"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962F78" w:rsidSect="00CD0235">
          <w:headerReference w:type="default" r:id="rId8"/>
          <w:footerReference w:type="default" r:id="rId9"/>
          <w:headerReference w:type="first" r:id="rId10"/>
          <w:footerReference w:type="first" r:id="rId11"/>
          <w:pgSz w:w="11906" w:h="16838"/>
          <w:pgMar w:top="1440" w:right="1440" w:bottom="1440" w:left="1440" w:header="720" w:footer="720" w:gutter="0"/>
          <w:pgNumType w:start="35"/>
          <w:cols w:space="720"/>
          <w:titlePg/>
          <w:docGrid w:linePitch="360"/>
        </w:sectPr>
      </w:pPr>
    </w:p>
    <w:p w14:paraId="24CD8AF1"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Introduction</w:t>
      </w:r>
    </w:p>
    <w:p w14:paraId="7C57F93E" w14:textId="5798C9A4"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Coronary artery disease (CAD) remains the leading cause of morbidity and mortality worldwide, accounting for a substantial proportion of cardiovascular-related deaths despite remarkable advances in diagnostic and therapeutic strategies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_Ref230082291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 xml:space="preserve">, </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_Ref230082297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 xml:space="preserve">, </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_Ref230082304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3</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 xml:space="preserve">, </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_Ref230082310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4</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Conversely, coronary artery ectasia (CAE), defined as abnormal localised or diffuse dilation of the coronary arteries exceeding 1.5 times the normal diameter, represents a distinct yet clinically significant phenotype associated with adverse cardiovascular outcomes, including thrombosis, distal embolisation, and acute coronary syndromes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_Ref230082317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5</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Understanding the pathophysiological differences between CAE and typical stenotic atherosclerosis is essential for improving risk stratification and guiding personalised management.</w:t>
      </w:r>
    </w:p>
    <w:p w14:paraId="5601BA7B" w14:textId="66F4C6C2"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The structural and functional integrity of the coronary vasculature is tightly regulated by endothelial homeostasis, inflammatory balance, extracellular matrix (ECM) turnover, and vascular smooth muscle cell activity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_Ref230082324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6</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Disruption of these regulatory mechanisms results in maladaptive vascular remodelling, which underlies both coronary artery stenosis and ectasia. Recent evidence highlights the pivotal role of inflammatory mediators, matrix-degrading enzymes, and fibrotic biomarkers in driving coronary artery pathology, emphasising the importance of integrated biomarker profiling for improved risk stratification and mechanistic understanding of CAD phenotypes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_Ref230082330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7</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w:t>
      </w:r>
    </w:p>
    <w:p w14:paraId="1B5BDD5F" w14:textId="39F1C9A3"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Matrix metalloproteinases (MMPs), particularly MMP-2, are zinc-dependent proteolytic enzymes that regulate ECM degradation and vascular remodelling. MMP-2 facilitates the breakdown of collagen and elastin fibres within the arterial wall, thereby contributing to plaque destabilisation and excessive vascular dilatation. Dysregulation of MMP-2 results in uncontrolled matrix degradation, promoting either progressive luminal narrowing in stenotic disease or pathological arterial dilation in ectatic segments. This enzyme has been increasingly recognised as a critical determinant of coronary artery remodelling patterns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_Ref230082337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8</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In parallel, systemic inflammatory indices such as neutrophil-to-lymphocyte ratio (NLR) and platelet-to-lymphocyte ratio (PLR) have gained significant attention as readily available, cost-effective biomarkers reflecting immune-inflammatory </w:t>
      </w:r>
      <w:r w:rsidRPr="00CF61FD">
        <w:rPr>
          <w:rFonts w:ascii="Arial" w:eastAsia="Times New Roman" w:hAnsi="Arial" w:cs="Arial"/>
          <w:color w:val="0F1115"/>
          <w:kern w:val="0"/>
          <w:sz w:val="20"/>
          <w:szCs w:val="20"/>
          <w:lang w:eastAsia="en-GB"/>
          <w14:ligatures w14:val="none"/>
        </w:rPr>
        <w:t xml:space="preserve">activation. Elevated NLR and PLR values have demonstrated robust associations with the severity of coronary stenosis, plaque vulnerability, and adverse cardiovascular outcomes </w:t>
      </w:r>
      <w:r w:rsid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_Ref230082344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9</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These indices reflect the combined impact of innate immune activation, lymphocyte suppression, and platelet-driven thrombo-inflammatory processes, which are particularly prominent in acute coronary syndromes and complex coronary lesions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_Ref230082350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10</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w:t>
      </w:r>
    </w:p>
    <w:p w14:paraId="2E485370" w14:textId="54DFDD1A"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Red cell distribution width (RDW), a haematological marker reflecting erythrocyte size heterogeneity, has recently emerged as a powerful prognostic indicator in cardiovascular disease. Increased RDW has been independently associated with endothelial dysfunction, oxidative stress, systemic inflammation, and poor clinical outcomes in CAD patients </w:t>
      </w:r>
      <w:r w:rsid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_Ref230082359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11</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RDW elevation appears to reflect chronic inflammatory and oxidative insults affecting erythropoiesis and red blood cell survival, thereby providing indirect insight into vascular disease burden and systemic metabolic stress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_Ref230082367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12</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Furthermore, dyslipidaemia remains a cornerstone risk factor in the initiation and progression of coronary artery disease. Elevated levels of low-density lipoprotein cholesterol (LDL-C), triglycerides, and reduced high-density lipoprotein cholesterol (HDL-C) contribute directly to endothelial injury, foam cell formation, oxidative stress, and plaque development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_Ref230082377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13</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In patients undergoing diagnostic coronary angiography, lipid abnormalities strongly correlate with both the severity of coronary stenosis and the presence of coronary ectasia, suggesting a shared lipid-driven inflammatory and remodelling pathway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_Ref230082384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14</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w:t>
      </w:r>
    </w:p>
    <w:p w14:paraId="27B5C5EF" w14:textId="02099C3E"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Recent publications have highlighted the growing burden of coronary artery disease in diverse populations and the need for region-specific biomarker studies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_Ref230082389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15</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The present study was therefore designed to evaluate the discriminatory capacity of serum MMP-2, haematological inflammatory indices (NLR, PLR, RDW), and lipid profiles in differentiating coronary artery ectasia from coronary artery stenosis and healthy controls among patients undergoing diagnostic coronary angiography.</w:t>
      </w:r>
    </w:p>
    <w:p w14:paraId="037717ED" w14:textId="257D6602"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0ADD981F"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Materials and Methods</w:t>
      </w:r>
    </w:p>
    <w:p w14:paraId="72219980" w14:textId="77777777" w:rsidR="00AB01AC" w:rsidRPr="00E702D3"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E702D3">
        <w:rPr>
          <w:rFonts w:ascii="Arial" w:eastAsia="Times New Roman" w:hAnsi="Arial" w:cs="Arial"/>
          <w:i/>
          <w:iCs/>
          <w:color w:val="0F1115"/>
          <w:kern w:val="0"/>
          <w:sz w:val="20"/>
          <w:szCs w:val="20"/>
          <w:lang w:eastAsia="en-GB"/>
          <w14:ligatures w14:val="none"/>
        </w:rPr>
        <w:t>Study Design and Setting</w:t>
      </w:r>
    </w:p>
    <w:p w14:paraId="0E0AC534" w14:textId="1D27CECF"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This cross-sectional study was conducted at the Department of Chemistry and Biochemistry, </w:t>
      </w:r>
      <w:r w:rsidRPr="00CF61FD">
        <w:rPr>
          <w:rFonts w:ascii="Arial" w:eastAsia="Times New Roman" w:hAnsi="Arial" w:cs="Arial"/>
          <w:color w:val="0F1115"/>
          <w:kern w:val="0"/>
          <w:sz w:val="20"/>
          <w:szCs w:val="20"/>
          <w:lang w:eastAsia="en-GB"/>
          <w14:ligatures w14:val="none"/>
        </w:rPr>
        <w:lastRenderedPageBreak/>
        <w:t xml:space="preserve">College of Medicine, Al-Nahrain University, in collaboration with the Clinical Biochemistry Laboratory at Al-Imamain Al-Kadhimain Medical City, Ibn Al-Bitar </w:t>
      </w:r>
      <w:r w:rsidR="00AA51AB">
        <w:rPr>
          <w:rFonts w:ascii="Arial" w:eastAsia="Times New Roman" w:hAnsi="Arial" w:cs="Arial"/>
          <w:color w:val="0F1115"/>
          <w:kern w:val="0"/>
          <w:sz w:val="20"/>
          <w:szCs w:val="20"/>
          <w:lang w:eastAsia="en-GB"/>
          <w14:ligatures w14:val="none"/>
        </w:rPr>
        <w:t>Centre</w:t>
      </w:r>
      <w:r w:rsidRPr="00CF61FD">
        <w:rPr>
          <w:rFonts w:ascii="Arial" w:eastAsia="Times New Roman" w:hAnsi="Arial" w:cs="Arial"/>
          <w:color w:val="0F1115"/>
          <w:kern w:val="0"/>
          <w:sz w:val="20"/>
          <w:szCs w:val="20"/>
          <w:lang w:eastAsia="en-GB"/>
          <w14:ligatures w14:val="none"/>
        </w:rPr>
        <w:t xml:space="preserve"> for Cardiac Surgery, and Baqubah Teaching Hospital. The study was carried out over a five-month period from November 2024 to March 2025.</w:t>
      </w:r>
    </w:p>
    <w:p w14:paraId="32860914" w14:textId="77777777" w:rsidR="00AA51AB" w:rsidRPr="00CF61FD" w:rsidRDefault="00AA51AB"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E3C1F8D" w14:textId="77777777" w:rsidR="00AB01AC" w:rsidRPr="00AA51AB"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A51AB">
        <w:rPr>
          <w:rFonts w:ascii="Arial" w:eastAsia="Times New Roman" w:hAnsi="Arial" w:cs="Arial"/>
          <w:i/>
          <w:iCs/>
          <w:color w:val="0F1115"/>
          <w:kern w:val="0"/>
          <w:sz w:val="20"/>
          <w:szCs w:val="20"/>
          <w:lang w:eastAsia="en-GB"/>
          <w14:ligatures w14:val="none"/>
        </w:rPr>
        <w:t>Study Population</w:t>
      </w:r>
    </w:p>
    <w:p w14:paraId="73933EE2" w14:textId="56882A7B"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A total of 120 participants were recruited and equally divided into three groups of 40 each: patients with angiographically confirmed coronary artery ectasia (CAE), patients with angiographically confirmed coronary artery stenosis (CAS) without ectasia, and apparently healthy controls. All participants provided written informed consent </w:t>
      </w:r>
      <w:r w:rsidR="00137115">
        <w:rPr>
          <w:rFonts w:ascii="Arial" w:eastAsia="Times New Roman" w:hAnsi="Arial" w:cs="Arial"/>
          <w:color w:val="0F1115"/>
          <w:kern w:val="0"/>
          <w:sz w:val="20"/>
          <w:szCs w:val="20"/>
          <w:lang w:eastAsia="en-GB"/>
          <w14:ligatures w14:val="none"/>
        </w:rPr>
        <w:t>before</w:t>
      </w:r>
      <w:r w:rsidRPr="00CF61FD">
        <w:rPr>
          <w:rFonts w:ascii="Arial" w:eastAsia="Times New Roman" w:hAnsi="Arial" w:cs="Arial"/>
          <w:color w:val="0F1115"/>
          <w:kern w:val="0"/>
          <w:sz w:val="20"/>
          <w:szCs w:val="20"/>
          <w:lang w:eastAsia="en-GB"/>
          <w14:ligatures w14:val="none"/>
        </w:rPr>
        <w:t xml:space="preserve"> enrolment. Structured questionnaires were completed to collect demographic and clinical data, including age, sex, body mass index (BMI), smoking status, history of diabetes mellitus, and hypertension. Participants’ ages ranged from 35 to 65 years.</w:t>
      </w:r>
    </w:p>
    <w:p w14:paraId="19FEC7A2" w14:textId="77777777" w:rsidR="009D56D4" w:rsidRPr="00CF61FD" w:rsidRDefault="009D56D4"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2E05C0F" w14:textId="77777777" w:rsidR="00AB01AC" w:rsidRPr="009D56D4"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9D56D4">
        <w:rPr>
          <w:rFonts w:ascii="Arial" w:eastAsia="Times New Roman" w:hAnsi="Arial" w:cs="Arial"/>
          <w:i/>
          <w:iCs/>
          <w:color w:val="0F1115"/>
          <w:kern w:val="0"/>
          <w:sz w:val="20"/>
          <w:szCs w:val="20"/>
          <w:lang w:eastAsia="en-GB"/>
          <w14:ligatures w14:val="none"/>
        </w:rPr>
        <w:t>Clinical Classification</w:t>
      </w:r>
    </w:p>
    <w:p w14:paraId="54BBB50A" w14:textId="77777777" w:rsidR="000E3009"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9D56D4">
        <w:rPr>
          <w:rFonts w:ascii="Arial" w:eastAsia="Times New Roman" w:hAnsi="Arial" w:cs="Arial"/>
          <w:color w:val="0F1115"/>
          <w:kern w:val="0"/>
          <w:sz w:val="20"/>
          <w:szCs w:val="20"/>
          <w:lang w:eastAsia="en-GB"/>
          <w14:ligatures w14:val="none"/>
        </w:rPr>
        <w:t>Group 1 (CAE group)</w:t>
      </w:r>
    </w:p>
    <w:p w14:paraId="2438A450" w14:textId="32111768" w:rsidR="00AB01AC" w:rsidRPr="009D56D4"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9D56D4">
        <w:rPr>
          <w:rFonts w:ascii="Arial" w:eastAsia="Times New Roman" w:hAnsi="Arial" w:cs="Arial"/>
          <w:color w:val="0F1115"/>
          <w:kern w:val="0"/>
          <w:sz w:val="20"/>
          <w:szCs w:val="20"/>
          <w:lang w:eastAsia="en-GB"/>
          <w14:ligatures w14:val="none"/>
        </w:rPr>
        <w:t>Forty patients (26 males, 14 females) with angiographically confirmed coronary artery ectasia, defined as localised or diffuse coronary artery dilation exceeding 1.5 times the diameter of an adjacent normal reference segment.</w:t>
      </w:r>
    </w:p>
    <w:p w14:paraId="3A47E634" w14:textId="77777777" w:rsidR="000E3009" w:rsidRDefault="000E300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B56D1CD" w14:textId="77777777" w:rsidR="000E3009"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9D56D4">
        <w:rPr>
          <w:rFonts w:ascii="Arial" w:eastAsia="Times New Roman" w:hAnsi="Arial" w:cs="Arial"/>
          <w:color w:val="0F1115"/>
          <w:kern w:val="0"/>
          <w:sz w:val="20"/>
          <w:szCs w:val="20"/>
          <w:lang w:eastAsia="en-GB"/>
          <w14:ligatures w14:val="none"/>
        </w:rPr>
        <w:t>Group 2 (CAS group)</w:t>
      </w:r>
    </w:p>
    <w:p w14:paraId="2C044417" w14:textId="24DD5D73" w:rsidR="00AB01AC" w:rsidRPr="009D56D4"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9D56D4">
        <w:rPr>
          <w:rFonts w:ascii="Arial" w:eastAsia="Times New Roman" w:hAnsi="Arial" w:cs="Arial"/>
          <w:color w:val="0F1115"/>
          <w:kern w:val="0"/>
          <w:sz w:val="20"/>
          <w:szCs w:val="20"/>
          <w:lang w:eastAsia="en-GB"/>
          <w14:ligatures w14:val="none"/>
        </w:rPr>
        <w:t>Forty patients (27 males, 13 females) with angiographically confirmed coronary artery stenosis, defined as luminal narrowing of ≥50% in at least one major epicardial coronary artery, without evidence of ectasia.</w:t>
      </w:r>
    </w:p>
    <w:p w14:paraId="343D41A0" w14:textId="77777777" w:rsidR="000E3009" w:rsidRDefault="000E300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568CB44" w14:textId="77777777" w:rsidR="000E3009"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9D56D4">
        <w:rPr>
          <w:rFonts w:ascii="Arial" w:eastAsia="Times New Roman" w:hAnsi="Arial" w:cs="Arial"/>
          <w:color w:val="0F1115"/>
          <w:kern w:val="0"/>
          <w:sz w:val="20"/>
          <w:szCs w:val="20"/>
          <w:lang w:eastAsia="en-GB"/>
          <w14:ligatures w14:val="none"/>
        </w:rPr>
        <w:t>Control group</w:t>
      </w:r>
    </w:p>
    <w:p w14:paraId="3AB4F495" w14:textId="49596447" w:rsidR="00AB01AC" w:rsidRPr="009D56D4"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9D56D4">
        <w:rPr>
          <w:rFonts w:ascii="Arial" w:eastAsia="Times New Roman" w:hAnsi="Arial" w:cs="Arial"/>
          <w:color w:val="0F1115"/>
          <w:kern w:val="0"/>
          <w:sz w:val="20"/>
          <w:szCs w:val="20"/>
          <w:lang w:eastAsia="en-GB"/>
          <w14:ligatures w14:val="none"/>
        </w:rPr>
        <w:t>Forty healthy subjects (18 males, 22 females) with no history or clinical evidence of coronary artery disease, matched for age range but not for cardiovascular risk factors.</w:t>
      </w:r>
    </w:p>
    <w:p w14:paraId="6FC4973F" w14:textId="77777777" w:rsidR="009D56D4" w:rsidRPr="00CF61FD" w:rsidRDefault="009D56D4"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B17C3E2" w14:textId="77777777" w:rsidR="00AB01AC" w:rsidRPr="009D56D4"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9D56D4">
        <w:rPr>
          <w:rFonts w:ascii="Arial" w:eastAsia="Times New Roman" w:hAnsi="Arial" w:cs="Arial"/>
          <w:i/>
          <w:iCs/>
          <w:color w:val="0F1115"/>
          <w:kern w:val="0"/>
          <w:sz w:val="20"/>
          <w:szCs w:val="20"/>
          <w:lang w:eastAsia="en-GB"/>
          <w14:ligatures w14:val="none"/>
        </w:rPr>
        <w:t>Inclusion and Exclusion Criteria</w:t>
      </w:r>
    </w:p>
    <w:p w14:paraId="69C28114" w14:textId="77777777" w:rsidR="00AB01AC" w:rsidRPr="00420F65"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20F65">
        <w:rPr>
          <w:rFonts w:ascii="Arial" w:eastAsia="Times New Roman" w:hAnsi="Arial" w:cs="Arial"/>
          <w:color w:val="0F1115"/>
          <w:kern w:val="0"/>
          <w:sz w:val="20"/>
          <w:szCs w:val="20"/>
          <w:lang w:eastAsia="en-GB"/>
          <w14:ligatures w14:val="none"/>
        </w:rPr>
        <w:t>Inclusion criteria comprised adults aged 35–65 years undergoing coronary angiography for suspected ischaemic heart disease and diagnosed with either CAE or CAS, together with apparently healthy individuals aged 35–65 years without evidence of CAD for the control group.</w:t>
      </w:r>
    </w:p>
    <w:p w14:paraId="65DEBD25" w14:textId="77777777" w:rsidR="00AB01AC" w:rsidRPr="00420F65"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20F65">
        <w:rPr>
          <w:rFonts w:ascii="Arial" w:eastAsia="Times New Roman" w:hAnsi="Arial" w:cs="Arial"/>
          <w:color w:val="0F1115"/>
          <w:kern w:val="0"/>
          <w:sz w:val="20"/>
          <w:szCs w:val="20"/>
          <w:lang w:eastAsia="en-GB"/>
          <w14:ligatures w14:val="none"/>
        </w:rPr>
        <w:t>Exclusion criteria included the presence of acute or chronic infection, autoimmune disease, malignancy, renal or hepatic impairment, recent surgery or trauma within the previous three months, presentation with acute coronary syndrome (including unstable angina, NSTEMI, or STEMI), and left ventricular systolic dysfunction defined as an ejection fraction below 40%.</w:t>
      </w:r>
    </w:p>
    <w:p w14:paraId="513DE948" w14:textId="77777777" w:rsidR="009D56D4" w:rsidRPr="00CF61FD" w:rsidRDefault="009D56D4"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D0B2F53" w14:textId="77777777" w:rsidR="00AB01AC" w:rsidRPr="00420F6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20F65">
        <w:rPr>
          <w:rFonts w:ascii="Arial" w:eastAsia="Times New Roman" w:hAnsi="Arial" w:cs="Arial"/>
          <w:i/>
          <w:iCs/>
          <w:color w:val="0F1115"/>
          <w:kern w:val="0"/>
          <w:sz w:val="20"/>
          <w:szCs w:val="20"/>
          <w:lang w:eastAsia="en-GB"/>
          <w14:ligatures w14:val="none"/>
        </w:rPr>
        <w:t>Blood Sampling and Laboratory Analysis</w:t>
      </w:r>
    </w:p>
    <w:p w14:paraId="212358CC"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Blood samples were collected from all participants following an overnight fast of at least 10 hours. Using sterile 10 mL disposable syringes via venipuncture, each sample was divided into two portions. Approximately 2 mL of whole blood was transferred into EDTA-containing tubes for complete blood count (CBC) analysis, from which NLR, PLR, and RDW were calculated. The remaining 7 mL of blood was placed into plain gel tubes to facilitate serum separation. Samples were allowed to clot at 37°C for 10–15 minutes and were then centrifuged at 3000 rpm for 10 minutes. The separated serum was carefully collected and divided into two aliquots.</w:t>
      </w:r>
    </w:p>
    <w:p w14:paraId="64125530"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One serum aliquot was used for lipid profile measurements, including total cholesterol (TC), triglycerides (TG), high-density lipoprotein cholesterol (HDL-C), low-density lipoprotein cholesterol (LDL-C), very low-density lipoprotein (VLDL), and non-HDL cholesterol. These parameters were determined using an automated chemistry analyser (Cobas c311, Roche Diagnostics, Germany) following the manufacturer’s protocols. The second serum aliquot was transferred into a separate 1.5 mL Eppendorf tube and stored at −80°C until analysis for matrix metalloproteinase-2 (MMP-2) using a commercial enzyme-linked immunosorbent assay (ELISA) kit (Elabscience, USA; catalogue No. E-EL-H1449) according to the manufacturer’s instructions. All samples were assayed in duplicate, and the mean values were used for statistical analysis.</w:t>
      </w:r>
    </w:p>
    <w:p w14:paraId="278DD61D" w14:textId="77777777" w:rsidR="00420F65" w:rsidRPr="00CF61FD" w:rsidRDefault="00420F6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E5AEC6E" w14:textId="77777777" w:rsidR="00AB01AC" w:rsidRPr="00420F6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20F65">
        <w:rPr>
          <w:rFonts w:ascii="Arial" w:eastAsia="Times New Roman" w:hAnsi="Arial" w:cs="Arial"/>
          <w:i/>
          <w:iCs/>
          <w:color w:val="0F1115"/>
          <w:kern w:val="0"/>
          <w:sz w:val="20"/>
          <w:szCs w:val="20"/>
          <w:lang w:eastAsia="en-GB"/>
          <w14:ligatures w14:val="none"/>
        </w:rPr>
        <w:t>Statistical Analysis</w:t>
      </w:r>
    </w:p>
    <w:p w14:paraId="712CF134"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All statistical analyses were performed using IBM SPSS Statistics (version 28.0) and GraphPad Prism (version 9.5). Statistical significance was set at p &lt; 0.05 for all tests.</w:t>
      </w:r>
    </w:p>
    <w:p w14:paraId="642E4F66"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Continuous variables were tested for normality using the Shapiro–Wilk test and for homogeneity of variance using Levene’s test. Given that multiple variables violated normality assumptions and/or homoscedasticity across groups, non</w:t>
      </w:r>
      <w:r w:rsidRPr="00CF61FD">
        <w:rPr>
          <w:rFonts w:ascii="Arial" w:eastAsia="Times New Roman" w:hAnsi="Arial" w:cs="Arial"/>
          <w:color w:val="0F1115"/>
          <w:kern w:val="0"/>
          <w:sz w:val="20"/>
          <w:szCs w:val="20"/>
          <w:lang w:eastAsia="en-GB"/>
          <w14:ligatures w14:val="none"/>
        </w:rPr>
        <w:noBreakHyphen/>
        <w:t>parametric methods were employed as the primary inferential approach. Between-group comparisons for continuous variables were conducted using the Kruskal–Wallis H test, with post hoc pairwise analyses performed using the Mann–Whitney U test with Bonferroni correction for multiple comparisons. One</w:t>
      </w:r>
      <w:r w:rsidRPr="00CF61FD">
        <w:rPr>
          <w:rFonts w:ascii="Arial" w:eastAsia="Times New Roman" w:hAnsi="Arial" w:cs="Arial"/>
          <w:color w:val="0F1115"/>
          <w:kern w:val="0"/>
          <w:sz w:val="20"/>
          <w:szCs w:val="20"/>
          <w:lang w:eastAsia="en-GB"/>
          <w14:ligatures w14:val="none"/>
        </w:rPr>
        <w:noBreakHyphen/>
        <w:t>way ANOVA with eta</w:t>
      </w:r>
      <w:r w:rsidRPr="00CF61FD">
        <w:rPr>
          <w:rFonts w:ascii="Arial" w:eastAsia="Times New Roman" w:hAnsi="Arial" w:cs="Arial"/>
          <w:color w:val="0F1115"/>
          <w:kern w:val="0"/>
          <w:sz w:val="20"/>
          <w:szCs w:val="20"/>
          <w:lang w:eastAsia="en-GB"/>
          <w14:ligatures w14:val="none"/>
        </w:rPr>
        <w:noBreakHyphen/>
        <w:t>squared (η²) effect sizes was additionally computed for all continuous variables to provide parametric effect size estimates. Effect sizes for pairwise comparisons were calculated as r = Z/√N.</w:t>
      </w:r>
    </w:p>
    <w:p w14:paraId="5FA8F177"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lastRenderedPageBreak/>
        <w:t>Categorical variables (sex, diabetes mellitus, hypertension, and smoking status) were analysed using the chi</w:t>
      </w:r>
      <w:r w:rsidRPr="00CF61FD">
        <w:rPr>
          <w:rFonts w:ascii="Arial" w:eastAsia="Times New Roman" w:hAnsi="Arial" w:cs="Arial"/>
          <w:color w:val="0F1115"/>
          <w:kern w:val="0"/>
          <w:sz w:val="20"/>
          <w:szCs w:val="20"/>
          <w:lang w:eastAsia="en-GB"/>
          <w14:ligatures w14:val="none"/>
        </w:rPr>
        <w:noBreakHyphen/>
        <w:t>square test of independence, with Cramér’s V as a measure of association strength. Pairwise comparisons for categorical variables were conducted using Fisher’s exact test where appropriate.</w:t>
      </w:r>
    </w:p>
    <w:p w14:paraId="6F445445"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Receiver operating characteristic (ROC) curve analysis was performed for each biomarker and haematological index across three pairwise comparisons: CAE versus control, CAS versus control, and CAE versus CAS. The area under the curve (AUC) was used to quantify discriminative ability. Optimal cut</w:t>
      </w:r>
      <w:r w:rsidRPr="00CF61FD">
        <w:rPr>
          <w:rFonts w:ascii="Arial" w:eastAsia="Times New Roman" w:hAnsi="Arial" w:cs="Arial"/>
          <w:color w:val="0F1115"/>
          <w:kern w:val="0"/>
          <w:sz w:val="20"/>
          <w:szCs w:val="20"/>
          <w:lang w:eastAsia="en-GB"/>
          <w14:ligatures w14:val="none"/>
        </w:rPr>
        <w:noBreakHyphen/>
        <w:t>off values were determined using Youden’s index (J = sensitivity + specificity – 1). Diagnostic performance was classified as excellent (AUC ≥ 0.90), good (0.80–0.89), fair (0.70–0.79), or poor (AUC &lt; 0.70). Given the perfect separation observed for MMP-2, we acknowledge that the AUC of 1.000 likely reflects the limited sample size and absence of an independent validation cohort; therefore, these results should be interpreted with appropriate caution.</w:t>
      </w:r>
    </w:p>
    <w:p w14:paraId="2B61C671" w14:textId="06BEB185"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Correlation analyses were performed using Pearson’s product</w:t>
      </w:r>
      <w:r w:rsidRPr="00CF61FD">
        <w:rPr>
          <w:rFonts w:ascii="Arial" w:eastAsia="Times New Roman" w:hAnsi="Arial" w:cs="Arial"/>
          <w:color w:val="0F1115"/>
          <w:kern w:val="0"/>
          <w:sz w:val="20"/>
          <w:szCs w:val="20"/>
          <w:lang w:eastAsia="en-GB"/>
          <w14:ligatures w14:val="none"/>
        </w:rPr>
        <w:noBreakHyphen/>
        <w:t xml:space="preserve">moment correlation coefficient within each group to examine bivariate relationships between biomarkers and clinical or haematological variables. Binary logistic regression was considered to evaluate the independent predictive capacity of biomarkers for CAE identification; however, due to </w:t>
      </w:r>
      <w:r w:rsidR="006E6B45">
        <w:rPr>
          <w:rFonts w:ascii="Arial" w:eastAsia="Times New Roman" w:hAnsi="Arial" w:cs="Arial"/>
          <w:color w:val="0F1115"/>
          <w:kern w:val="0"/>
          <w:sz w:val="20"/>
          <w:szCs w:val="20"/>
          <w:lang w:eastAsia="en-GB"/>
          <w14:ligatures w14:val="none"/>
        </w:rPr>
        <w:t xml:space="preserve">the </w:t>
      </w:r>
      <w:r w:rsidRPr="00CF61FD">
        <w:rPr>
          <w:rFonts w:ascii="Arial" w:eastAsia="Times New Roman" w:hAnsi="Arial" w:cs="Arial"/>
          <w:color w:val="0F1115"/>
          <w:kern w:val="0"/>
          <w:sz w:val="20"/>
          <w:szCs w:val="20"/>
          <w:lang w:eastAsia="en-GB"/>
          <w14:ligatures w14:val="none"/>
        </w:rPr>
        <w:t>complete separation of MMP-2 values between groups (no overlap), logistic regression models failed to converge. This finding itself underscores the strong discriminatory potential of MMP-2, although it also highlights the need for validation in larger, more heterogeneous populations.</w:t>
      </w:r>
    </w:p>
    <w:p w14:paraId="61069BC4"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Figures were generated using GraphPad Prism and presented as box</w:t>
      </w:r>
      <w:r w:rsidRPr="00CF61FD">
        <w:rPr>
          <w:rFonts w:ascii="Arial" w:eastAsia="Times New Roman" w:hAnsi="Arial" w:cs="Arial"/>
          <w:color w:val="0F1115"/>
          <w:kern w:val="0"/>
          <w:sz w:val="20"/>
          <w:szCs w:val="20"/>
          <w:lang w:eastAsia="en-GB"/>
          <w14:ligatures w14:val="none"/>
        </w:rPr>
        <w:noBreakHyphen/>
        <w:t>and</w:t>
      </w:r>
      <w:r w:rsidRPr="00CF61FD">
        <w:rPr>
          <w:rFonts w:ascii="Arial" w:eastAsia="Times New Roman" w:hAnsi="Arial" w:cs="Arial"/>
          <w:color w:val="0F1115"/>
          <w:kern w:val="0"/>
          <w:sz w:val="20"/>
          <w:szCs w:val="20"/>
          <w:lang w:eastAsia="en-GB"/>
          <w14:ligatures w14:val="none"/>
        </w:rPr>
        <w:noBreakHyphen/>
        <w:t>whisker plots showing median, interquartile range, minimum, and maximum. All reported p</w:t>
      </w:r>
      <w:r w:rsidRPr="00CF61FD">
        <w:rPr>
          <w:rFonts w:ascii="Arial" w:eastAsia="Times New Roman" w:hAnsi="Arial" w:cs="Arial"/>
          <w:color w:val="0F1115"/>
          <w:kern w:val="0"/>
          <w:sz w:val="20"/>
          <w:szCs w:val="20"/>
          <w:lang w:eastAsia="en-GB"/>
          <w14:ligatures w14:val="none"/>
        </w:rPr>
        <w:noBreakHyphen/>
        <w:t>values are two</w:t>
      </w:r>
      <w:r w:rsidRPr="00CF61FD">
        <w:rPr>
          <w:rFonts w:ascii="Arial" w:eastAsia="Times New Roman" w:hAnsi="Arial" w:cs="Arial"/>
          <w:color w:val="0F1115"/>
          <w:kern w:val="0"/>
          <w:sz w:val="20"/>
          <w:szCs w:val="20"/>
          <w:lang w:eastAsia="en-GB"/>
          <w14:ligatures w14:val="none"/>
        </w:rPr>
        <w:noBreakHyphen/>
        <w:t>tailed.</w:t>
      </w:r>
    </w:p>
    <w:p w14:paraId="55928951" w14:textId="4301A4C7"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71AABD77"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Results</w:t>
      </w:r>
    </w:p>
    <w:p w14:paraId="3E3384A7" w14:textId="485F9927" w:rsidR="00AB01AC" w:rsidRPr="006E6B4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E6B45">
        <w:rPr>
          <w:rFonts w:ascii="Arial" w:eastAsia="Times New Roman" w:hAnsi="Arial" w:cs="Arial"/>
          <w:i/>
          <w:iCs/>
          <w:color w:val="0F1115"/>
          <w:kern w:val="0"/>
          <w:sz w:val="20"/>
          <w:szCs w:val="20"/>
          <w:lang w:eastAsia="en-GB"/>
          <w14:ligatures w14:val="none"/>
        </w:rPr>
        <w:t>Demographic and Clinical Characteristics</w:t>
      </w:r>
      <w:r w:rsidR="00100B03">
        <w:rPr>
          <w:rFonts w:ascii="Arial" w:eastAsia="Times New Roman" w:hAnsi="Arial" w:cs="Arial"/>
          <w:i/>
          <w:iCs/>
          <w:color w:val="0F1115"/>
          <w:kern w:val="0"/>
          <w:sz w:val="20"/>
          <w:szCs w:val="20"/>
          <w:lang w:eastAsia="en-GB"/>
          <w14:ligatures w14:val="none"/>
        </w:rPr>
        <w:t xml:space="preserve"> (Table 1 and Figure</w:t>
      </w:r>
      <w:r w:rsidR="001F53F5">
        <w:rPr>
          <w:rFonts w:ascii="Arial" w:eastAsia="Times New Roman" w:hAnsi="Arial" w:cs="Arial"/>
          <w:i/>
          <w:iCs/>
          <w:color w:val="0F1115"/>
          <w:kern w:val="0"/>
          <w:sz w:val="20"/>
          <w:szCs w:val="20"/>
          <w:lang w:eastAsia="en-GB"/>
          <w14:ligatures w14:val="none"/>
        </w:rPr>
        <w:t>s</w:t>
      </w:r>
      <w:r w:rsidR="00100B03">
        <w:rPr>
          <w:rFonts w:ascii="Arial" w:eastAsia="Times New Roman" w:hAnsi="Arial" w:cs="Arial"/>
          <w:i/>
          <w:iCs/>
          <w:color w:val="0F1115"/>
          <w:kern w:val="0"/>
          <w:sz w:val="20"/>
          <w:szCs w:val="20"/>
          <w:lang w:eastAsia="en-GB"/>
          <w14:ligatures w14:val="none"/>
        </w:rPr>
        <w:t xml:space="preserve"> 1</w:t>
      </w:r>
      <w:r w:rsidR="001F53F5">
        <w:rPr>
          <w:rFonts w:ascii="Arial" w:eastAsia="Times New Roman" w:hAnsi="Arial" w:cs="Arial"/>
          <w:i/>
          <w:iCs/>
          <w:color w:val="0F1115"/>
          <w:kern w:val="0"/>
          <w:sz w:val="20"/>
          <w:szCs w:val="20"/>
          <w:lang w:eastAsia="en-GB"/>
          <w14:ligatures w14:val="none"/>
        </w:rPr>
        <w:t xml:space="preserve"> and 2</w:t>
      </w:r>
      <w:r w:rsidR="00100B03">
        <w:rPr>
          <w:rFonts w:ascii="Arial" w:eastAsia="Times New Roman" w:hAnsi="Arial" w:cs="Arial"/>
          <w:i/>
          <w:iCs/>
          <w:color w:val="0F1115"/>
          <w:kern w:val="0"/>
          <w:sz w:val="20"/>
          <w:szCs w:val="20"/>
          <w:lang w:eastAsia="en-GB"/>
          <w14:ligatures w14:val="none"/>
        </w:rPr>
        <w:t>)</w:t>
      </w:r>
    </w:p>
    <w:p w14:paraId="5974CF69"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A total of 120 participants were enrolled, divided equally into three groups of 40 each. Table 1 summarises the demographic and clinical characteristics. The mean age was highest in the stenosis group (54.35 ± 5.25 years) and the CAE group (53.58 ± 6.71 years), both significantly older than the control group (45.90 ± 6.77 years; p &lt; 0.001). No statistically significant age difference separated the two patient groups from one another (p&lt;sub&gt;adj&lt;/sub&gt; = 1.000). Male predominance was observed in both the CAE group (65.0%) and the stenosis group (67.5%), whereas females slightly outnumbered males among controls (55.0%); however, this trend did not reach statistical significance (χ² = 5.036, p = 0.081).</w:t>
      </w:r>
    </w:p>
    <w:p w14:paraId="7145D9B1"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Body mass index differed markedly across groups. Controls had a mean BMI of 22.58 ± 1.99 kg/m², placing them predominantly in the normal</w:t>
      </w:r>
      <w:r w:rsidRPr="00CF61FD">
        <w:rPr>
          <w:rFonts w:ascii="Arial" w:eastAsia="Times New Roman" w:hAnsi="Arial" w:cs="Arial"/>
          <w:color w:val="0F1115"/>
          <w:kern w:val="0"/>
          <w:sz w:val="20"/>
          <w:szCs w:val="20"/>
          <w:lang w:eastAsia="en-GB"/>
          <w14:ligatures w14:val="none"/>
        </w:rPr>
        <w:noBreakHyphen/>
        <w:t>weight category. The CAE group averaged 27.49 ± 1.03 kg/m² and the stenosis group 27.11 ± 0.77 kg/m², both falling within the overweight range. The overall ANOVA was highly significant (F = 158.94, p &lt; 0.001, η² = 0.731), though the difference between CAE and stenosis did not survive Bonferroni correction (p&lt;sub&gt;adj&lt;/sub&gt; = 0.119). The large effect size indicates that BMI alone accounted for over 73% of between</w:t>
      </w:r>
      <w:r w:rsidRPr="00CF61FD">
        <w:rPr>
          <w:rFonts w:ascii="Arial" w:eastAsia="Times New Roman" w:hAnsi="Arial" w:cs="Arial"/>
          <w:color w:val="0F1115"/>
          <w:kern w:val="0"/>
          <w:sz w:val="20"/>
          <w:szCs w:val="20"/>
          <w:lang w:eastAsia="en-GB"/>
          <w14:ligatures w14:val="none"/>
        </w:rPr>
        <w:noBreakHyphen/>
        <w:t>group variance.</w:t>
      </w:r>
    </w:p>
    <w:p w14:paraId="1FBD4062"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Regarding cardiovascular risk factors, both patient groups had substantially higher prevalences of diabetes mellitus (80.0% in CAE, 82.5% in stenosis), hypertension (97.5% in CAE, 95.0% in stenosis), and smoking (75.0% in CAE, 72.5% in stenosis) compared to controls (0% for all three factors). These differences were highly significant (p &lt; 0.001 for each comparison), reflecting the inclusion of only healthy individuals without these risk factors in the control group.</w:t>
      </w:r>
    </w:p>
    <w:p w14:paraId="005F9E29"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962F78">
          <w:type w:val="continuous"/>
          <w:pgSz w:w="11906" w:h="16838"/>
          <w:pgMar w:top="1440" w:right="1440" w:bottom="1440" w:left="1440" w:header="720" w:footer="720" w:gutter="0"/>
          <w:cols w:num="2" w:space="432"/>
          <w:titlePg/>
          <w:docGrid w:linePitch="360"/>
        </w:sectPr>
      </w:pPr>
    </w:p>
    <w:p w14:paraId="3A5BA46D" w14:textId="603C98DC" w:rsidR="00AB01AC" w:rsidRPr="00CF61FD" w:rsidRDefault="00AB01AC" w:rsidP="006E6B45">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Table 1</w:t>
      </w:r>
      <w:r w:rsidR="006E6B45">
        <w:rPr>
          <w:rFonts w:ascii="Arial" w:eastAsia="Times New Roman" w:hAnsi="Arial" w:cs="Arial"/>
          <w:b/>
          <w:bCs/>
          <w:color w:val="0F1115"/>
          <w:kern w:val="0"/>
          <w:sz w:val="20"/>
          <w:szCs w:val="20"/>
          <w:lang w:eastAsia="en-GB"/>
          <w14:ligatures w14:val="none"/>
        </w:rPr>
        <w:t xml:space="preserve">: </w:t>
      </w:r>
      <w:r w:rsidRPr="00CF61FD">
        <w:rPr>
          <w:rFonts w:ascii="Arial" w:eastAsia="Times New Roman" w:hAnsi="Arial" w:cs="Arial"/>
          <w:b/>
          <w:bCs/>
          <w:color w:val="0F1115"/>
          <w:kern w:val="0"/>
          <w:sz w:val="20"/>
          <w:szCs w:val="20"/>
          <w:lang w:eastAsia="en-GB"/>
          <w14:ligatures w14:val="none"/>
        </w:rPr>
        <w:t>Demographic and clinical characteristics of the study groups</w:t>
      </w:r>
    </w:p>
    <w:tbl>
      <w:tblPr>
        <w:tblW w:w="9593" w:type="dxa"/>
        <w:jc w:val="center"/>
        <w:tblLook w:val="04A0" w:firstRow="1" w:lastRow="0" w:firstColumn="1" w:lastColumn="0" w:noHBand="0" w:noVBand="1"/>
      </w:tblPr>
      <w:tblGrid>
        <w:gridCol w:w="2076"/>
        <w:gridCol w:w="1689"/>
        <w:gridCol w:w="1438"/>
        <w:gridCol w:w="1812"/>
        <w:gridCol w:w="1550"/>
        <w:gridCol w:w="1028"/>
      </w:tblGrid>
      <w:tr w:rsidR="009910B7" w:rsidRPr="009910B7" w14:paraId="589E0C61" w14:textId="77777777" w:rsidTr="000E3009">
        <w:trPr>
          <w:trHeight w:val="50"/>
          <w:jc w:val="center"/>
        </w:trPr>
        <w:tc>
          <w:tcPr>
            <w:tcW w:w="2076" w:type="dxa"/>
            <w:tcBorders>
              <w:top w:val="single" w:sz="4" w:space="0" w:color="auto"/>
              <w:left w:val="nil"/>
              <w:bottom w:val="single" w:sz="4" w:space="0" w:color="auto"/>
              <w:right w:val="nil"/>
            </w:tcBorders>
            <w:noWrap/>
            <w:vAlign w:val="center"/>
            <w:hideMark/>
          </w:tcPr>
          <w:p w14:paraId="0F7B85E9" w14:textId="77777777" w:rsidR="009910B7" w:rsidRPr="009910B7" w:rsidRDefault="009910B7" w:rsidP="000E3009">
            <w:pPr>
              <w:spacing w:after="0" w:line="240" w:lineRule="auto"/>
              <w:jc w:val="center"/>
              <w:rPr>
                <w:rFonts w:ascii="Arial" w:eastAsia="Times New Roman" w:hAnsi="Arial" w:cs="Arial"/>
                <w:b/>
                <w:bCs/>
                <w:color w:val="000000"/>
                <w:kern w:val="0"/>
                <w:sz w:val="20"/>
                <w:szCs w:val="20"/>
                <w:lang w:eastAsia="en-GB"/>
                <w14:ligatures w14:val="none"/>
              </w:rPr>
            </w:pPr>
            <w:r w:rsidRPr="009910B7">
              <w:rPr>
                <w:rFonts w:ascii="Arial" w:eastAsia="Times New Roman" w:hAnsi="Arial" w:cs="Arial"/>
                <w:b/>
                <w:bCs/>
                <w:color w:val="000000"/>
                <w:kern w:val="0"/>
                <w:sz w:val="20"/>
                <w:szCs w:val="20"/>
                <w:lang w:eastAsia="en-GB"/>
                <w14:ligatures w14:val="none"/>
              </w:rPr>
              <w:t>Parameter</w:t>
            </w:r>
          </w:p>
        </w:tc>
        <w:tc>
          <w:tcPr>
            <w:tcW w:w="1689" w:type="dxa"/>
            <w:tcBorders>
              <w:top w:val="single" w:sz="4" w:space="0" w:color="auto"/>
              <w:left w:val="nil"/>
              <w:bottom w:val="single" w:sz="4" w:space="0" w:color="auto"/>
              <w:right w:val="nil"/>
            </w:tcBorders>
            <w:noWrap/>
            <w:vAlign w:val="center"/>
            <w:hideMark/>
          </w:tcPr>
          <w:p w14:paraId="10CD029B" w14:textId="77777777" w:rsidR="009910B7" w:rsidRPr="009910B7" w:rsidRDefault="009910B7" w:rsidP="000E3009">
            <w:pPr>
              <w:spacing w:after="0" w:line="240" w:lineRule="auto"/>
              <w:jc w:val="center"/>
              <w:rPr>
                <w:rFonts w:ascii="Arial" w:eastAsia="Times New Roman" w:hAnsi="Arial" w:cs="Arial"/>
                <w:b/>
                <w:bCs/>
                <w:color w:val="000000"/>
                <w:kern w:val="0"/>
                <w:sz w:val="20"/>
                <w:szCs w:val="20"/>
                <w:lang w:eastAsia="en-GB"/>
                <w14:ligatures w14:val="none"/>
              </w:rPr>
            </w:pPr>
            <w:r w:rsidRPr="009910B7">
              <w:rPr>
                <w:rFonts w:ascii="Arial" w:eastAsia="Times New Roman" w:hAnsi="Arial" w:cs="Arial"/>
                <w:b/>
                <w:bCs/>
                <w:color w:val="000000"/>
                <w:kern w:val="0"/>
                <w:sz w:val="20"/>
                <w:szCs w:val="20"/>
                <w:lang w:eastAsia="en-GB"/>
                <w14:ligatures w14:val="none"/>
              </w:rPr>
              <w:t>Control (n=40)</w:t>
            </w:r>
          </w:p>
        </w:tc>
        <w:tc>
          <w:tcPr>
            <w:tcW w:w="1438" w:type="dxa"/>
            <w:tcBorders>
              <w:top w:val="single" w:sz="4" w:space="0" w:color="auto"/>
              <w:left w:val="nil"/>
              <w:bottom w:val="single" w:sz="4" w:space="0" w:color="auto"/>
              <w:right w:val="nil"/>
            </w:tcBorders>
            <w:noWrap/>
            <w:vAlign w:val="center"/>
            <w:hideMark/>
          </w:tcPr>
          <w:p w14:paraId="23E9A850" w14:textId="77777777" w:rsidR="009910B7" w:rsidRPr="009910B7" w:rsidRDefault="009910B7" w:rsidP="000E3009">
            <w:pPr>
              <w:spacing w:after="0" w:line="240" w:lineRule="auto"/>
              <w:jc w:val="center"/>
              <w:rPr>
                <w:rFonts w:ascii="Arial" w:eastAsia="Times New Roman" w:hAnsi="Arial" w:cs="Arial"/>
                <w:b/>
                <w:bCs/>
                <w:color w:val="000000"/>
                <w:kern w:val="0"/>
                <w:sz w:val="20"/>
                <w:szCs w:val="20"/>
                <w:lang w:eastAsia="en-GB"/>
                <w14:ligatures w14:val="none"/>
              </w:rPr>
            </w:pPr>
            <w:r w:rsidRPr="009910B7">
              <w:rPr>
                <w:rFonts w:ascii="Arial" w:eastAsia="Times New Roman" w:hAnsi="Arial" w:cs="Arial"/>
                <w:b/>
                <w:bCs/>
                <w:color w:val="000000"/>
                <w:kern w:val="0"/>
                <w:sz w:val="20"/>
                <w:szCs w:val="20"/>
                <w:lang w:eastAsia="en-GB"/>
                <w14:ligatures w14:val="none"/>
              </w:rPr>
              <w:t>CAE (n=40)</w:t>
            </w:r>
          </w:p>
        </w:tc>
        <w:tc>
          <w:tcPr>
            <w:tcW w:w="1812" w:type="dxa"/>
            <w:tcBorders>
              <w:top w:val="single" w:sz="4" w:space="0" w:color="auto"/>
              <w:left w:val="nil"/>
              <w:bottom w:val="single" w:sz="4" w:space="0" w:color="auto"/>
              <w:right w:val="nil"/>
            </w:tcBorders>
            <w:noWrap/>
            <w:vAlign w:val="center"/>
            <w:hideMark/>
          </w:tcPr>
          <w:p w14:paraId="55EABAC9" w14:textId="77777777" w:rsidR="009910B7" w:rsidRPr="009910B7" w:rsidRDefault="009910B7" w:rsidP="000E3009">
            <w:pPr>
              <w:spacing w:after="0" w:line="240" w:lineRule="auto"/>
              <w:jc w:val="center"/>
              <w:rPr>
                <w:rFonts w:ascii="Arial" w:eastAsia="Times New Roman" w:hAnsi="Arial" w:cs="Arial"/>
                <w:b/>
                <w:bCs/>
                <w:color w:val="000000"/>
                <w:kern w:val="0"/>
                <w:sz w:val="20"/>
                <w:szCs w:val="20"/>
                <w:lang w:eastAsia="en-GB"/>
                <w14:ligatures w14:val="none"/>
              </w:rPr>
            </w:pPr>
            <w:r w:rsidRPr="009910B7">
              <w:rPr>
                <w:rFonts w:ascii="Arial" w:eastAsia="Times New Roman" w:hAnsi="Arial" w:cs="Arial"/>
                <w:b/>
                <w:bCs/>
                <w:color w:val="000000"/>
                <w:kern w:val="0"/>
                <w:sz w:val="20"/>
                <w:szCs w:val="20"/>
                <w:lang w:eastAsia="en-GB"/>
                <w14:ligatures w14:val="none"/>
              </w:rPr>
              <w:t>Stenosis (n=40)</w:t>
            </w:r>
          </w:p>
        </w:tc>
        <w:tc>
          <w:tcPr>
            <w:tcW w:w="1550" w:type="dxa"/>
            <w:tcBorders>
              <w:top w:val="single" w:sz="4" w:space="0" w:color="auto"/>
              <w:left w:val="nil"/>
              <w:bottom w:val="single" w:sz="4" w:space="0" w:color="auto"/>
              <w:right w:val="nil"/>
            </w:tcBorders>
            <w:noWrap/>
            <w:vAlign w:val="center"/>
            <w:hideMark/>
          </w:tcPr>
          <w:p w14:paraId="290C93ED" w14:textId="77777777" w:rsidR="009910B7" w:rsidRPr="009910B7" w:rsidRDefault="009910B7" w:rsidP="000E3009">
            <w:pPr>
              <w:spacing w:after="0" w:line="240" w:lineRule="auto"/>
              <w:jc w:val="center"/>
              <w:rPr>
                <w:rFonts w:ascii="Arial" w:eastAsia="Times New Roman" w:hAnsi="Arial" w:cs="Arial"/>
                <w:b/>
                <w:bCs/>
                <w:color w:val="000000"/>
                <w:kern w:val="0"/>
                <w:sz w:val="20"/>
                <w:szCs w:val="20"/>
                <w:lang w:eastAsia="en-GB"/>
                <w14:ligatures w14:val="none"/>
              </w:rPr>
            </w:pPr>
            <w:r w:rsidRPr="009910B7">
              <w:rPr>
                <w:rFonts w:ascii="Arial" w:eastAsia="Times New Roman" w:hAnsi="Arial" w:cs="Arial"/>
                <w:b/>
                <w:bCs/>
                <w:color w:val="000000"/>
                <w:kern w:val="0"/>
                <w:sz w:val="20"/>
                <w:szCs w:val="20"/>
                <w:lang w:eastAsia="en-GB"/>
                <w14:ligatures w14:val="none"/>
              </w:rPr>
              <w:t>Test statistic</w:t>
            </w:r>
          </w:p>
        </w:tc>
        <w:tc>
          <w:tcPr>
            <w:tcW w:w="1028" w:type="dxa"/>
            <w:tcBorders>
              <w:top w:val="single" w:sz="4" w:space="0" w:color="auto"/>
              <w:left w:val="nil"/>
              <w:bottom w:val="single" w:sz="4" w:space="0" w:color="auto"/>
              <w:right w:val="nil"/>
            </w:tcBorders>
            <w:noWrap/>
            <w:vAlign w:val="center"/>
            <w:hideMark/>
          </w:tcPr>
          <w:p w14:paraId="6293BBF2" w14:textId="77777777" w:rsidR="009910B7" w:rsidRPr="009910B7" w:rsidRDefault="009910B7" w:rsidP="000E3009">
            <w:pPr>
              <w:spacing w:after="0" w:line="240" w:lineRule="auto"/>
              <w:jc w:val="center"/>
              <w:rPr>
                <w:rFonts w:ascii="Arial" w:eastAsia="Times New Roman" w:hAnsi="Arial" w:cs="Arial"/>
                <w:b/>
                <w:bCs/>
                <w:color w:val="000000"/>
                <w:kern w:val="0"/>
                <w:sz w:val="20"/>
                <w:szCs w:val="20"/>
                <w:lang w:eastAsia="en-GB"/>
                <w14:ligatures w14:val="none"/>
              </w:rPr>
            </w:pPr>
            <w:r w:rsidRPr="009910B7">
              <w:rPr>
                <w:rFonts w:ascii="Arial" w:eastAsia="Times New Roman" w:hAnsi="Arial" w:cs="Arial"/>
                <w:b/>
                <w:bCs/>
                <w:color w:val="000000"/>
                <w:kern w:val="0"/>
                <w:sz w:val="20"/>
                <w:szCs w:val="20"/>
                <w:lang w:eastAsia="en-GB"/>
                <w14:ligatures w14:val="none"/>
              </w:rPr>
              <w:t>p-value</w:t>
            </w:r>
          </w:p>
        </w:tc>
      </w:tr>
      <w:tr w:rsidR="009910B7" w:rsidRPr="009910B7" w14:paraId="370B477E" w14:textId="77777777" w:rsidTr="000E3009">
        <w:trPr>
          <w:trHeight w:val="50"/>
          <w:jc w:val="center"/>
        </w:trPr>
        <w:tc>
          <w:tcPr>
            <w:tcW w:w="2076" w:type="dxa"/>
            <w:tcBorders>
              <w:top w:val="nil"/>
              <w:left w:val="nil"/>
              <w:bottom w:val="nil"/>
              <w:right w:val="nil"/>
            </w:tcBorders>
            <w:noWrap/>
            <w:vAlign w:val="center"/>
            <w:hideMark/>
          </w:tcPr>
          <w:p w14:paraId="424DBA6F" w14:textId="77777777" w:rsidR="009910B7" w:rsidRPr="009910B7" w:rsidRDefault="009910B7" w:rsidP="009910B7">
            <w:pPr>
              <w:spacing w:after="0" w:line="240" w:lineRule="auto"/>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Age (years)</w:t>
            </w:r>
          </w:p>
        </w:tc>
        <w:tc>
          <w:tcPr>
            <w:tcW w:w="1689" w:type="dxa"/>
            <w:tcBorders>
              <w:top w:val="nil"/>
              <w:left w:val="nil"/>
              <w:bottom w:val="nil"/>
              <w:right w:val="nil"/>
            </w:tcBorders>
            <w:noWrap/>
            <w:vAlign w:val="center"/>
            <w:hideMark/>
          </w:tcPr>
          <w:p w14:paraId="3AF5FBF5"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45.90 ± 6.77</w:t>
            </w:r>
          </w:p>
        </w:tc>
        <w:tc>
          <w:tcPr>
            <w:tcW w:w="1438" w:type="dxa"/>
            <w:tcBorders>
              <w:top w:val="nil"/>
              <w:left w:val="nil"/>
              <w:bottom w:val="nil"/>
              <w:right w:val="nil"/>
            </w:tcBorders>
            <w:noWrap/>
            <w:vAlign w:val="center"/>
            <w:hideMark/>
          </w:tcPr>
          <w:p w14:paraId="09CFB25C"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53.58 ± 6.71</w:t>
            </w:r>
          </w:p>
        </w:tc>
        <w:tc>
          <w:tcPr>
            <w:tcW w:w="1812" w:type="dxa"/>
            <w:tcBorders>
              <w:top w:val="nil"/>
              <w:left w:val="nil"/>
              <w:bottom w:val="nil"/>
              <w:right w:val="nil"/>
            </w:tcBorders>
            <w:noWrap/>
            <w:vAlign w:val="center"/>
            <w:hideMark/>
          </w:tcPr>
          <w:p w14:paraId="7FFA2A6A"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54.35 ± 5.25</w:t>
            </w:r>
          </w:p>
        </w:tc>
        <w:tc>
          <w:tcPr>
            <w:tcW w:w="1550" w:type="dxa"/>
            <w:tcBorders>
              <w:top w:val="nil"/>
              <w:left w:val="nil"/>
              <w:bottom w:val="nil"/>
              <w:right w:val="nil"/>
            </w:tcBorders>
            <w:noWrap/>
            <w:vAlign w:val="center"/>
            <w:hideMark/>
          </w:tcPr>
          <w:p w14:paraId="3B3A3126"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H = 31.63</w:t>
            </w:r>
          </w:p>
        </w:tc>
        <w:tc>
          <w:tcPr>
            <w:tcW w:w="1028" w:type="dxa"/>
            <w:tcBorders>
              <w:top w:val="nil"/>
              <w:left w:val="nil"/>
              <w:bottom w:val="nil"/>
              <w:right w:val="nil"/>
            </w:tcBorders>
            <w:noWrap/>
            <w:vAlign w:val="center"/>
            <w:hideMark/>
          </w:tcPr>
          <w:p w14:paraId="427C5665"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&lt;0.001*</w:t>
            </w:r>
          </w:p>
        </w:tc>
      </w:tr>
      <w:tr w:rsidR="009910B7" w:rsidRPr="009910B7" w14:paraId="1A83CE43" w14:textId="77777777" w:rsidTr="000E3009">
        <w:trPr>
          <w:trHeight w:val="60"/>
          <w:jc w:val="center"/>
        </w:trPr>
        <w:tc>
          <w:tcPr>
            <w:tcW w:w="2076" w:type="dxa"/>
            <w:tcBorders>
              <w:top w:val="nil"/>
              <w:left w:val="nil"/>
              <w:bottom w:val="nil"/>
              <w:right w:val="nil"/>
            </w:tcBorders>
            <w:noWrap/>
            <w:vAlign w:val="center"/>
            <w:hideMark/>
          </w:tcPr>
          <w:p w14:paraId="46C28EB4" w14:textId="77777777" w:rsidR="009910B7" w:rsidRPr="009910B7" w:rsidRDefault="009910B7" w:rsidP="009910B7">
            <w:pPr>
              <w:spacing w:after="0" w:line="240" w:lineRule="auto"/>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BMI (kg/m²)</w:t>
            </w:r>
          </w:p>
        </w:tc>
        <w:tc>
          <w:tcPr>
            <w:tcW w:w="1689" w:type="dxa"/>
            <w:tcBorders>
              <w:top w:val="nil"/>
              <w:left w:val="nil"/>
              <w:bottom w:val="nil"/>
              <w:right w:val="nil"/>
            </w:tcBorders>
            <w:noWrap/>
            <w:vAlign w:val="center"/>
            <w:hideMark/>
          </w:tcPr>
          <w:p w14:paraId="30E978BE"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22.58 ± 1.99</w:t>
            </w:r>
          </w:p>
        </w:tc>
        <w:tc>
          <w:tcPr>
            <w:tcW w:w="1438" w:type="dxa"/>
            <w:tcBorders>
              <w:top w:val="nil"/>
              <w:left w:val="nil"/>
              <w:bottom w:val="nil"/>
              <w:right w:val="nil"/>
            </w:tcBorders>
            <w:noWrap/>
            <w:vAlign w:val="center"/>
            <w:hideMark/>
          </w:tcPr>
          <w:p w14:paraId="07C9D357"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27.49 ± 1.03</w:t>
            </w:r>
          </w:p>
        </w:tc>
        <w:tc>
          <w:tcPr>
            <w:tcW w:w="1812" w:type="dxa"/>
            <w:tcBorders>
              <w:top w:val="nil"/>
              <w:left w:val="nil"/>
              <w:bottom w:val="nil"/>
              <w:right w:val="nil"/>
            </w:tcBorders>
            <w:noWrap/>
            <w:vAlign w:val="center"/>
            <w:hideMark/>
          </w:tcPr>
          <w:p w14:paraId="64BD5A90"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27.11 ± 0.77</w:t>
            </w:r>
          </w:p>
        </w:tc>
        <w:tc>
          <w:tcPr>
            <w:tcW w:w="1550" w:type="dxa"/>
            <w:tcBorders>
              <w:top w:val="nil"/>
              <w:left w:val="nil"/>
              <w:bottom w:val="nil"/>
              <w:right w:val="nil"/>
            </w:tcBorders>
            <w:noWrap/>
            <w:vAlign w:val="center"/>
            <w:hideMark/>
          </w:tcPr>
          <w:p w14:paraId="4F483BB9"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H = 80.81</w:t>
            </w:r>
          </w:p>
        </w:tc>
        <w:tc>
          <w:tcPr>
            <w:tcW w:w="1028" w:type="dxa"/>
            <w:tcBorders>
              <w:top w:val="nil"/>
              <w:left w:val="nil"/>
              <w:bottom w:val="nil"/>
              <w:right w:val="nil"/>
            </w:tcBorders>
            <w:noWrap/>
            <w:vAlign w:val="center"/>
            <w:hideMark/>
          </w:tcPr>
          <w:p w14:paraId="21281A40"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&lt;0.001*</w:t>
            </w:r>
          </w:p>
        </w:tc>
      </w:tr>
      <w:tr w:rsidR="009910B7" w:rsidRPr="009910B7" w14:paraId="71501EAB" w14:textId="77777777" w:rsidTr="000E3009">
        <w:trPr>
          <w:trHeight w:val="60"/>
          <w:jc w:val="center"/>
        </w:trPr>
        <w:tc>
          <w:tcPr>
            <w:tcW w:w="2076" w:type="dxa"/>
            <w:tcBorders>
              <w:top w:val="nil"/>
              <w:left w:val="nil"/>
              <w:bottom w:val="nil"/>
              <w:right w:val="nil"/>
            </w:tcBorders>
            <w:noWrap/>
            <w:vAlign w:val="center"/>
            <w:hideMark/>
          </w:tcPr>
          <w:p w14:paraId="4D8C9EFB" w14:textId="77777777" w:rsidR="009910B7" w:rsidRPr="009910B7" w:rsidRDefault="009910B7" w:rsidP="009910B7">
            <w:pPr>
              <w:spacing w:after="0" w:line="240" w:lineRule="auto"/>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Sex, male n (%)</w:t>
            </w:r>
          </w:p>
        </w:tc>
        <w:tc>
          <w:tcPr>
            <w:tcW w:w="1689" w:type="dxa"/>
            <w:tcBorders>
              <w:top w:val="nil"/>
              <w:left w:val="nil"/>
              <w:bottom w:val="nil"/>
              <w:right w:val="nil"/>
            </w:tcBorders>
            <w:noWrap/>
            <w:vAlign w:val="center"/>
            <w:hideMark/>
          </w:tcPr>
          <w:p w14:paraId="26BBD754"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18 (45.0%)</w:t>
            </w:r>
          </w:p>
        </w:tc>
        <w:tc>
          <w:tcPr>
            <w:tcW w:w="1438" w:type="dxa"/>
            <w:tcBorders>
              <w:top w:val="nil"/>
              <w:left w:val="nil"/>
              <w:bottom w:val="nil"/>
              <w:right w:val="nil"/>
            </w:tcBorders>
            <w:noWrap/>
            <w:vAlign w:val="center"/>
            <w:hideMark/>
          </w:tcPr>
          <w:p w14:paraId="0F408AAF"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26 (65.0%)</w:t>
            </w:r>
          </w:p>
        </w:tc>
        <w:tc>
          <w:tcPr>
            <w:tcW w:w="1812" w:type="dxa"/>
            <w:tcBorders>
              <w:top w:val="nil"/>
              <w:left w:val="nil"/>
              <w:bottom w:val="nil"/>
              <w:right w:val="nil"/>
            </w:tcBorders>
            <w:noWrap/>
            <w:vAlign w:val="center"/>
            <w:hideMark/>
          </w:tcPr>
          <w:p w14:paraId="3A1514E5"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27 (67.5%)</w:t>
            </w:r>
          </w:p>
        </w:tc>
        <w:tc>
          <w:tcPr>
            <w:tcW w:w="1550" w:type="dxa"/>
            <w:tcBorders>
              <w:top w:val="nil"/>
              <w:left w:val="nil"/>
              <w:bottom w:val="nil"/>
              <w:right w:val="nil"/>
            </w:tcBorders>
            <w:noWrap/>
            <w:vAlign w:val="center"/>
            <w:hideMark/>
          </w:tcPr>
          <w:p w14:paraId="55CF6D4E"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χ² = 5.04</w:t>
            </w:r>
          </w:p>
        </w:tc>
        <w:tc>
          <w:tcPr>
            <w:tcW w:w="1028" w:type="dxa"/>
            <w:tcBorders>
              <w:top w:val="nil"/>
              <w:left w:val="nil"/>
              <w:bottom w:val="nil"/>
              <w:right w:val="nil"/>
            </w:tcBorders>
            <w:noWrap/>
            <w:vAlign w:val="center"/>
            <w:hideMark/>
          </w:tcPr>
          <w:p w14:paraId="11A13A8E"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0.081</w:t>
            </w:r>
          </w:p>
        </w:tc>
      </w:tr>
      <w:tr w:rsidR="009910B7" w:rsidRPr="009910B7" w14:paraId="21532FA2" w14:textId="77777777" w:rsidTr="000E3009">
        <w:trPr>
          <w:trHeight w:val="60"/>
          <w:jc w:val="center"/>
        </w:trPr>
        <w:tc>
          <w:tcPr>
            <w:tcW w:w="2076" w:type="dxa"/>
            <w:tcBorders>
              <w:top w:val="nil"/>
              <w:left w:val="nil"/>
              <w:bottom w:val="nil"/>
              <w:right w:val="nil"/>
            </w:tcBorders>
            <w:noWrap/>
            <w:vAlign w:val="center"/>
            <w:hideMark/>
          </w:tcPr>
          <w:p w14:paraId="29B57218" w14:textId="77777777" w:rsidR="009910B7" w:rsidRPr="009910B7" w:rsidRDefault="009910B7" w:rsidP="009910B7">
            <w:pPr>
              <w:spacing w:after="0" w:line="240" w:lineRule="auto"/>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DM, n (%)</w:t>
            </w:r>
          </w:p>
        </w:tc>
        <w:tc>
          <w:tcPr>
            <w:tcW w:w="1689" w:type="dxa"/>
            <w:tcBorders>
              <w:top w:val="nil"/>
              <w:left w:val="nil"/>
              <w:bottom w:val="nil"/>
              <w:right w:val="nil"/>
            </w:tcBorders>
            <w:noWrap/>
            <w:vAlign w:val="center"/>
            <w:hideMark/>
          </w:tcPr>
          <w:p w14:paraId="30E6D2D1"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0 (0.0%)</w:t>
            </w:r>
          </w:p>
        </w:tc>
        <w:tc>
          <w:tcPr>
            <w:tcW w:w="1438" w:type="dxa"/>
            <w:tcBorders>
              <w:top w:val="nil"/>
              <w:left w:val="nil"/>
              <w:bottom w:val="nil"/>
              <w:right w:val="nil"/>
            </w:tcBorders>
            <w:noWrap/>
            <w:vAlign w:val="center"/>
            <w:hideMark/>
          </w:tcPr>
          <w:p w14:paraId="22327C70"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32 (80.0%)</w:t>
            </w:r>
          </w:p>
        </w:tc>
        <w:tc>
          <w:tcPr>
            <w:tcW w:w="1812" w:type="dxa"/>
            <w:tcBorders>
              <w:top w:val="nil"/>
              <w:left w:val="nil"/>
              <w:bottom w:val="nil"/>
              <w:right w:val="nil"/>
            </w:tcBorders>
            <w:noWrap/>
            <w:vAlign w:val="center"/>
            <w:hideMark/>
          </w:tcPr>
          <w:p w14:paraId="05DC865E"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33 (82.5%)</w:t>
            </w:r>
          </w:p>
        </w:tc>
        <w:tc>
          <w:tcPr>
            <w:tcW w:w="1550" w:type="dxa"/>
            <w:tcBorders>
              <w:top w:val="nil"/>
              <w:left w:val="nil"/>
              <w:bottom w:val="nil"/>
              <w:right w:val="nil"/>
            </w:tcBorders>
            <w:noWrap/>
            <w:vAlign w:val="center"/>
            <w:hideMark/>
          </w:tcPr>
          <w:p w14:paraId="781B8808"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χ² = 70.96</w:t>
            </w:r>
          </w:p>
        </w:tc>
        <w:tc>
          <w:tcPr>
            <w:tcW w:w="1028" w:type="dxa"/>
            <w:tcBorders>
              <w:top w:val="nil"/>
              <w:left w:val="nil"/>
              <w:bottom w:val="nil"/>
              <w:right w:val="nil"/>
            </w:tcBorders>
            <w:noWrap/>
            <w:vAlign w:val="center"/>
            <w:hideMark/>
          </w:tcPr>
          <w:p w14:paraId="533E8A79"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&lt;0.001*</w:t>
            </w:r>
          </w:p>
        </w:tc>
      </w:tr>
      <w:tr w:rsidR="009910B7" w:rsidRPr="009910B7" w14:paraId="168656D7" w14:textId="77777777" w:rsidTr="000E3009">
        <w:trPr>
          <w:trHeight w:val="60"/>
          <w:jc w:val="center"/>
        </w:trPr>
        <w:tc>
          <w:tcPr>
            <w:tcW w:w="2076" w:type="dxa"/>
            <w:tcBorders>
              <w:top w:val="nil"/>
              <w:left w:val="nil"/>
              <w:bottom w:val="nil"/>
              <w:right w:val="nil"/>
            </w:tcBorders>
            <w:noWrap/>
            <w:vAlign w:val="center"/>
            <w:hideMark/>
          </w:tcPr>
          <w:p w14:paraId="0F570E01" w14:textId="77777777" w:rsidR="009910B7" w:rsidRPr="009910B7" w:rsidRDefault="009910B7" w:rsidP="009910B7">
            <w:pPr>
              <w:spacing w:after="0" w:line="240" w:lineRule="auto"/>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Hypertension, n (%)</w:t>
            </w:r>
          </w:p>
        </w:tc>
        <w:tc>
          <w:tcPr>
            <w:tcW w:w="1689" w:type="dxa"/>
            <w:tcBorders>
              <w:top w:val="nil"/>
              <w:left w:val="nil"/>
              <w:bottom w:val="nil"/>
              <w:right w:val="nil"/>
            </w:tcBorders>
            <w:noWrap/>
            <w:vAlign w:val="center"/>
            <w:hideMark/>
          </w:tcPr>
          <w:p w14:paraId="19C10007"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0 (0.0%)</w:t>
            </w:r>
          </w:p>
        </w:tc>
        <w:tc>
          <w:tcPr>
            <w:tcW w:w="1438" w:type="dxa"/>
            <w:tcBorders>
              <w:top w:val="nil"/>
              <w:left w:val="nil"/>
              <w:bottom w:val="nil"/>
              <w:right w:val="nil"/>
            </w:tcBorders>
            <w:noWrap/>
            <w:vAlign w:val="center"/>
            <w:hideMark/>
          </w:tcPr>
          <w:p w14:paraId="1C2AC0D8"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39 (97.5%)</w:t>
            </w:r>
          </w:p>
        </w:tc>
        <w:tc>
          <w:tcPr>
            <w:tcW w:w="1812" w:type="dxa"/>
            <w:tcBorders>
              <w:top w:val="nil"/>
              <w:left w:val="nil"/>
              <w:bottom w:val="nil"/>
              <w:right w:val="nil"/>
            </w:tcBorders>
            <w:noWrap/>
            <w:vAlign w:val="center"/>
            <w:hideMark/>
          </w:tcPr>
          <w:p w14:paraId="2F34F011"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38 (95.0%)</w:t>
            </w:r>
          </w:p>
        </w:tc>
        <w:tc>
          <w:tcPr>
            <w:tcW w:w="1550" w:type="dxa"/>
            <w:tcBorders>
              <w:top w:val="nil"/>
              <w:left w:val="nil"/>
              <w:bottom w:val="nil"/>
              <w:right w:val="nil"/>
            </w:tcBorders>
            <w:noWrap/>
            <w:vAlign w:val="center"/>
            <w:hideMark/>
          </w:tcPr>
          <w:p w14:paraId="1CEA8E99"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χ² = 107.50</w:t>
            </w:r>
          </w:p>
        </w:tc>
        <w:tc>
          <w:tcPr>
            <w:tcW w:w="1028" w:type="dxa"/>
            <w:tcBorders>
              <w:top w:val="nil"/>
              <w:left w:val="nil"/>
              <w:bottom w:val="nil"/>
              <w:right w:val="nil"/>
            </w:tcBorders>
            <w:noWrap/>
            <w:vAlign w:val="center"/>
            <w:hideMark/>
          </w:tcPr>
          <w:p w14:paraId="6D6D55ED"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&lt;0.001*</w:t>
            </w:r>
          </w:p>
        </w:tc>
      </w:tr>
      <w:tr w:rsidR="009910B7" w:rsidRPr="009910B7" w14:paraId="071161E0" w14:textId="77777777" w:rsidTr="000E3009">
        <w:trPr>
          <w:trHeight w:val="60"/>
          <w:jc w:val="center"/>
        </w:trPr>
        <w:tc>
          <w:tcPr>
            <w:tcW w:w="2076" w:type="dxa"/>
            <w:tcBorders>
              <w:top w:val="nil"/>
              <w:left w:val="nil"/>
              <w:bottom w:val="single" w:sz="4" w:space="0" w:color="auto"/>
              <w:right w:val="nil"/>
            </w:tcBorders>
            <w:noWrap/>
            <w:vAlign w:val="center"/>
            <w:hideMark/>
          </w:tcPr>
          <w:p w14:paraId="3ABE45C1" w14:textId="77777777" w:rsidR="009910B7" w:rsidRPr="009910B7" w:rsidRDefault="009910B7" w:rsidP="009910B7">
            <w:pPr>
              <w:spacing w:after="0" w:line="240" w:lineRule="auto"/>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Smoking, n (%)</w:t>
            </w:r>
          </w:p>
        </w:tc>
        <w:tc>
          <w:tcPr>
            <w:tcW w:w="1689" w:type="dxa"/>
            <w:tcBorders>
              <w:top w:val="nil"/>
              <w:left w:val="nil"/>
              <w:bottom w:val="single" w:sz="4" w:space="0" w:color="auto"/>
              <w:right w:val="nil"/>
            </w:tcBorders>
            <w:noWrap/>
            <w:vAlign w:val="center"/>
            <w:hideMark/>
          </w:tcPr>
          <w:p w14:paraId="3086DA2D"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0 (0.0%)</w:t>
            </w:r>
          </w:p>
        </w:tc>
        <w:tc>
          <w:tcPr>
            <w:tcW w:w="1438" w:type="dxa"/>
            <w:tcBorders>
              <w:top w:val="nil"/>
              <w:left w:val="nil"/>
              <w:bottom w:val="single" w:sz="4" w:space="0" w:color="auto"/>
              <w:right w:val="nil"/>
            </w:tcBorders>
            <w:noWrap/>
            <w:vAlign w:val="center"/>
            <w:hideMark/>
          </w:tcPr>
          <w:p w14:paraId="406CBAC0"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30 (75.0%)</w:t>
            </w:r>
          </w:p>
        </w:tc>
        <w:tc>
          <w:tcPr>
            <w:tcW w:w="1812" w:type="dxa"/>
            <w:tcBorders>
              <w:top w:val="nil"/>
              <w:left w:val="nil"/>
              <w:bottom w:val="single" w:sz="4" w:space="0" w:color="auto"/>
              <w:right w:val="nil"/>
            </w:tcBorders>
            <w:noWrap/>
            <w:vAlign w:val="center"/>
            <w:hideMark/>
          </w:tcPr>
          <w:p w14:paraId="26453FC1"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29 (72.5%)</w:t>
            </w:r>
          </w:p>
        </w:tc>
        <w:tc>
          <w:tcPr>
            <w:tcW w:w="1550" w:type="dxa"/>
            <w:tcBorders>
              <w:top w:val="nil"/>
              <w:left w:val="nil"/>
              <w:bottom w:val="single" w:sz="4" w:space="0" w:color="auto"/>
              <w:right w:val="nil"/>
            </w:tcBorders>
            <w:noWrap/>
            <w:vAlign w:val="center"/>
            <w:hideMark/>
          </w:tcPr>
          <w:p w14:paraId="49AB8716"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χ² = 58.08</w:t>
            </w:r>
          </w:p>
        </w:tc>
        <w:tc>
          <w:tcPr>
            <w:tcW w:w="1028" w:type="dxa"/>
            <w:tcBorders>
              <w:top w:val="nil"/>
              <w:left w:val="nil"/>
              <w:bottom w:val="single" w:sz="4" w:space="0" w:color="auto"/>
              <w:right w:val="nil"/>
            </w:tcBorders>
            <w:noWrap/>
            <w:vAlign w:val="center"/>
            <w:hideMark/>
          </w:tcPr>
          <w:p w14:paraId="546A24C4" w14:textId="77777777" w:rsidR="009910B7" w:rsidRPr="009910B7" w:rsidRDefault="009910B7" w:rsidP="000E3009">
            <w:pPr>
              <w:spacing w:after="0" w:line="240" w:lineRule="auto"/>
              <w:jc w:val="center"/>
              <w:rPr>
                <w:rFonts w:ascii="Arial" w:eastAsia="Times New Roman" w:hAnsi="Arial" w:cs="Arial"/>
                <w:color w:val="000000"/>
                <w:kern w:val="0"/>
                <w:sz w:val="20"/>
                <w:szCs w:val="20"/>
                <w:lang w:eastAsia="en-GB"/>
                <w14:ligatures w14:val="none"/>
              </w:rPr>
            </w:pPr>
            <w:r w:rsidRPr="009910B7">
              <w:rPr>
                <w:rFonts w:ascii="Arial" w:eastAsia="Times New Roman" w:hAnsi="Arial" w:cs="Arial"/>
                <w:color w:val="000000"/>
                <w:kern w:val="0"/>
                <w:sz w:val="20"/>
                <w:szCs w:val="20"/>
                <w:lang w:eastAsia="en-GB"/>
                <w14:ligatures w14:val="none"/>
              </w:rPr>
              <w:t>&lt;0.001*</w:t>
            </w:r>
          </w:p>
        </w:tc>
      </w:tr>
    </w:tbl>
    <w:p w14:paraId="2E67EF8F" w14:textId="31D34797" w:rsidR="00AB01AC" w:rsidRDefault="00AB01AC" w:rsidP="000169B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*Data presented as mean ± SD for continuous variables and n (%) for categorical variables. *p &lt; 0.05 considered significant. H = Kruskal–Wallis statistic; χ² = chi</w:t>
      </w:r>
      <w:r w:rsidRPr="00CF61FD">
        <w:rPr>
          <w:rFonts w:ascii="Arial" w:eastAsia="Times New Roman" w:hAnsi="Arial" w:cs="Arial"/>
          <w:color w:val="0F1115"/>
          <w:kern w:val="0"/>
          <w:sz w:val="20"/>
          <w:szCs w:val="20"/>
          <w:lang w:eastAsia="en-GB"/>
          <w14:ligatures w14:val="none"/>
        </w:rPr>
        <w:noBreakHyphen/>
        <w:t>square statistic; DM = diabetes mellitus; BMI = body mass index; CAE = coronary artery ectasia.*</w:t>
      </w:r>
    </w:p>
    <w:p w14:paraId="52C77063" w14:textId="77777777" w:rsidR="000169B2" w:rsidRDefault="000169B2"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FBFADDF" w14:textId="53EA5F21" w:rsidR="000169B2" w:rsidRPr="00CF61FD" w:rsidRDefault="00955AB0" w:rsidP="00955AB0">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lastRenderedPageBreak/>
        <w:drawing>
          <wp:inline distT="0" distB="0" distL="0" distR="0" wp14:anchorId="03DA8171" wp14:editId="16CD933B">
            <wp:extent cx="2369185" cy="1530224"/>
            <wp:effectExtent l="0" t="0" r="0" b="0"/>
            <wp:docPr id="1818760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0440" cy="1543953"/>
                    </a:xfrm>
                    <a:prstGeom prst="rect">
                      <a:avLst/>
                    </a:prstGeom>
                    <a:noFill/>
                  </pic:spPr>
                </pic:pic>
              </a:graphicData>
            </a:graphic>
          </wp:inline>
        </w:drawing>
      </w:r>
    </w:p>
    <w:p w14:paraId="5D80DD93" w14:textId="77777777" w:rsidR="004B4850" w:rsidRPr="004B4850" w:rsidRDefault="00AB01AC" w:rsidP="004B4850">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4B4850">
        <w:rPr>
          <w:rFonts w:ascii="Arial" w:eastAsia="Times New Roman" w:hAnsi="Arial" w:cs="Arial"/>
          <w:b/>
          <w:bCs/>
          <w:color w:val="0F1115"/>
          <w:kern w:val="0"/>
          <w:sz w:val="20"/>
          <w:szCs w:val="20"/>
          <w:lang w:eastAsia="en-GB"/>
          <w14:ligatures w14:val="none"/>
        </w:rPr>
        <w:t>Figure 1</w:t>
      </w:r>
      <w:r w:rsidR="000169B2" w:rsidRPr="004B4850">
        <w:rPr>
          <w:rFonts w:ascii="Arial" w:eastAsia="Times New Roman" w:hAnsi="Arial" w:cs="Arial"/>
          <w:b/>
          <w:bCs/>
          <w:color w:val="0F1115"/>
          <w:kern w:val="0"/>
          <w:sz w:val="20"/>
          <w:szCs w:val="20"/>
          <w:lang w:eastAsia="en-GB"/>
          <w14:ligatures w14:val="none"/>
        </w:rPr>
        <w:t>:</w:t>
      </w:r>
      <w:r w:rsidRPr="004B4850">
        <w:rPr>
          <w:rFonts w:ascii="Arial" w:eastAsia="Times New Roman" w:hAnsi="Arial" w:cs="Arial"/>
          <w:b/>
          <w:bCs/>
          <w:color w:val="0F1115"/>
          <w:kern w:val="0"/>
          <w:sz w:val="20"/>
          <w:szCs w:val="20"/>
          <w:lang w:eastAsia="en-GB"/>
          <w14:ligatures w14:val="none"/>
        </w:rPr>
        <w:t> </w:t>
      </w:r>
      <w:r w:rsidR="004B4850" w:rsidRPr="004B4850">
        <w:rPr>
          <w:rFonts w:ascii="Arial" w:eastAsia="Times New Roman" w:hAnsi="Arial" w:cs="Arial"/>
          <w:b/>
          <w:bCs/>
          <w:color w:val="0F1115"/>
          <w:kern w:val="0"/>
          <w:sz w:val="20"/>
          <w:szCs w:val="20"/>
          <w:lang w:eastAsia="en-GB"/>
          <w14:ligatures w14:val="none"/>
        </w:rPr>
        <w:t>Distribution of age across the three study groups</w:t>
      </w:r>
    </w:p>
    <w:p w14:paraId="7671CCA5" w14:textId="77777777" w:rsidR="00962F78" w:rsidRDefault="00962F78" w:rsidP="003470A2">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p>
    <w:p w14:paraId="5EC32F99" w14:textId="560AC699" w:rsidR="004B4850" w:rsidRDefault="00C731AF" w:rsidP="003470A2">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Pr>
          <w:rFonts w:ascii="Arial" w:eastAsia="Times New Roman" w:hAnsi="Arial" w:cs="Arial"/>
          <w:b/>
          <w:bCs/>
          <w:noProof/>
          <w:color w:val="0F1115"/>
          <w:kern w:val="0"/>
          <w:sz w:val="20"/>
          <w:szCs w:val="20"/>
          <w:lang w:eastAsia="en-GB"/>
          <w14:ligatures w14:val="none"/>
        </w:rPr>
        <w:drawing>
          <wp:inline distT="0" distB="0" distL="0" distR="0" wp14:anchorId="480EFA0B" wp14:editId="44C38288">
            <wp:extent cx="2274249" cy="1470025"/>
            <wp:effectExtent l="0" t="0" r="0" b="0"/>
            <wp:docPr id="19843868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2612" cy="1481894"/>
                    </a:xfrm>
                    <a:prstGeom prst="rect">
                      <a:avLst/>
                    </a:prstGeom>
                    <a:noFill/>
                  </pic:spPr>
                </pic:pic>
              </a:graphicData>
            </a:graphic>
          </wp:inline>
        </w:drawing>
      </w:r>
    </w:p>
    <w:p w14:paraId="5B880B27" w14:textId="77777777" w:rsidR="00BE6381" w:rsidRPr="00BE6381" w:rsidRDefault="00AB01AC" w:rsidP="00BE6381">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BE6381">
        <w:rPr>
          <w:rFonts w:ascii="Arial" w:eastAsia="Times New Roman" w:hAnsi="Arial" w:cs="Arial"/>
          <w:b/>
          <w:bCs/>
          <w:color w:val="0F1115"/>
          <w:kern w:val="0"/>
          <w:sz w:val="20"/>
          <w:szCs w:val="20"/>
          <w:lang w:eastAsia="en-GB"/>
          <w14:ligatures w14:val="none"/>
        </w:rPr>
        <w:t>Figure 2</w:t>
      </w:r>
      <w:r w:rsidR="00BE6381" w:rsidRPr="00BE6381">
        <w:rPr>
          <w:rFonts w:ascii="Arial" w:eastAsia="Times New Roman" w:hAnsi="Arial" w:cs="Arial"/>
          <w:b/>
          <w:bCs/>
          <w:color w:val="0F1115"/>
          <w:kern w:val="0"/>
          <w:sz w:val="20"/>
          <w:szCs w:val="20"/>
          <w:lang w:eastAsia="en-GB"/>
          <w14:ligatures w14:val="none"/>
        </w:rPr>
        <w:t>:</w:t>
      </w:r>
      <w:r w:rsidRPr="00BE6381">
        <w:rPr>
          <w:rFonts w:ascii="Arial" w:eastAsia="Times New Roman" w:hAnsi="Arial" w:cs="Arial"/>
          <w:b/>
          <w:bCs/>
          <w:color w:val="0F1115"/>
          <w:kern w:val="0"/>
          <w:sz w:val="20"/>
          <w:szCs w:val="20"/>
          <w:lang w:eastAsia="en-GB"/>
          <w14:ligatures w14:val="none"/>
        </w:rPr>
        <w:t> </w:t>
      </w:r>
      <w:r w:rsidR="00BE6381" w:rsidRPr="00BE6381">
        <w:rPr>
          <w:rFonts w:ascii="Arial" w:eastAsia="Times New Roman" w:hAnsi="Arial" w:cs="Arial"/>
          <w:b/>
          <w:bCs/>
          <w:color w:val="0F1115"/>
          <w:kern w:val="0"/>
          <w:sz w:val="20"/>
          <w:szCs w:val="20"/>
          <w:lang w:eastAsia="en-GB"/>
          <w14:ligatures w14:val="none"/>
        </w:rPr>
        <w:t>Body mass index across the three study groups</w:t>
      </w:r>
    </w:p>
    <w:p w14:paraId="58223841" w14:textId="77777777" w:rsidR="000169B2" w:rsidRPr="00CF61FD" w:rsidRDefault="000169B2"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6C4D9D2" w14:textId="77777777" w:rsidR="00962F78" w:rsidRDefault="00962F78"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962F78" w:rsidSect="00962F78">
          <w:type w:val="continuous"/>
          <w:pgSz w:w="11906" w:h="16838"/>
          <w:pgMar w:top="1440" w:right="1440" w:bottom="1440" w:left="1440" w:header="720" w:footer="720" w:gutter="0"/>
          <w:cols w:space="720"/>
          <w:titlePg/>
          <w:docGrid w:linePitch="360"/>
        </w:sectPr>
      </w:pPr>
    </w:p>
    <w:p w14:paraId="0864B280" w14:textId="72969A19" w:rsidR="00AB01AC" w:rsidRPr="000169B2"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0169B2">
        <w:rPr>
          <w:rFonts w:ascii="Arial" w:eastAsia="Times New Roman" w:hAnsi="Arial" w:cs="Arial"/>
          <w:i/>
          <w:iCs/>
          <w:color w:val="0F1115"/>
          <w:kern w:val="0"/>
          <w:sz w:val="20"/>
          <w:szCs w:val="20"/>
          <w:lang w:eastAsia="en-GB"/>
          <w14:ligatures w14:val="none"/>
        </w:rPr>
        <w:t>Lipid Profile Parameters</w:t>
      </w:r>
      <w:r w:rsidR="0094696D">
        <w:rPr>
          <w:rFonts w:ascii="Arial" w:eastAsia="Times New Roman" w:hAnsi="Arial" w:cs="Arial"/>
          <w:i/>
          <w:iCs/>
          <w:color w:val="0F1115"/>
          <w:kern w:val="0"/>
          <w:sz w:val="20"/>
          <w:szCs w:val="20"/>
          <w:lang w:eastAsia="en-GB"/>
          <w14:ligatures w14:val="none"/>
        </w:rPr>
        <w:t xml:space="preserve"> (Table 2 and Figures 3 to 8)</w:t>
      </w:r>
    </w:p>
    <w:p w14:paraId="1A208576"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Dyslipidaemia was pronounced in both patient groups relative to controls, though the pattern differed between CAE and stenosis in clinically meaningful ways.</w:t>
      </w:r>
      <w:r w:rsidRPr="00BE6381">
        <w:rPr>
          <w:rFonts w:ascii="Arial" w:eastAsia="Times New Roman" w:hAnsi="Arial" w:cs="Arial"/>
          <w:color w:val="0F1115"/>
          <w:kern w:val="0"/>
          <w:sz w:val="20"/>
          <w:szCs w:val="20"/>
          <w:lang w:eastAsia="en-GB"/>
          <w14:ligatures w14:val="none"/>
        </w:rPr>
        <w:t> Table 2 presents the lipid parameters. Total cholesterol was substantially elevated in the CAE grou</w:t>
      </w:r>
      <w:r w:rsidRPr="00CF61FD">
        <w:rPr>
          <w:rFonts w:ascii="Arial" w:eastAsia="Times New Roman" w:hAnsi="Arial" w:cs="Arial"/>
          <w:color w:val="0F1115"/>
          <w:kern w:val="0"/>
          <w:sz w:val="20"/>
          <w:szCs w:val="20"/>
          <w:lang w:eastAsia="en-GB"/>
          <w14:ligatures w14:val="none"/>
        </w:rPr>
        <w:t xml:space="preserve">p (229.22 ± 45.52 mg/dL) and moderately elevated in the stenosis group (198.12 ± 46.48 mg/dL), compared to a control mean of 119.82 ± 13.48 mg/dL. The triglyceride picture was even more striking: the CAE group averaged 257.40 ± 67.98 mg/dL – nearly three times the control value – while stenosis patients had intermediate values </w:t>
      </w:r>
      <w:r w:rsidRPr="00CF61FD">
        <w:rPr>
          <w:rFonts w:ascii="Arial" w:eastAsia="Times New Roman" w:hAnsi="Arial" w:cs="Arial"/>
          <w:color w:val="0F1115"/>
          <w:kern w:val="0"/>
          <w:sz w:val="20"/>
          <w:szCs w:val="20"/>
          <w:lang w:eastAsia="en-GB"/>
          <w14:ligatures w14:val="none"/>
        </w:rPr>
        <w:t>(201.62 ± 58.81 mg/dL). Pairwise testing confirmed that even the CAE</w:t>
      </w:r>
      <w:r w:rsidRPr="00CF61FD">
        <w:rPr>
          <w:rFonts w:ascii="Arial" w:eastAsia="Times New Roman" w:hAnsi="Arial" w:cs="Arial"/>
          <w:color w:val="0F1115"/>
          <w:kern w:val="0"/>
          <w:sz w:val="20"/>
          <w:szCs w:val="20"/>
          <w:lang w:eastAsia="en-GB"/>
          <w14:ligatures w14:val="none"/>
        </w:rPr>
        <w:noBreakHyphen/>
        <w:t>versus</w:t>
      </w:r>
      <w:r w:rsidRPr="00CF61FD">
        <w:rPr>
          <w:rFonts w:ascii="Arial" w:eastAsia="Times New Roman" w:hAnsi="Arial" w:cs="Arial"/>
          <w:color w:val="0F1115"/>
          <w:kern w:val="0"/>
          <w:sz w:val="20"/>
          <w:szCs w:val="20"/>
          <w:lang w:eastAsia="en-GB"/>
          <w14:ligatures w14:val="none"/>
        </w:rPr>
        <w:noBreakHyphen/>
        <w:t>stenosis difference was significant (p = 0.001), suggesting a more severe metabolic derangement in ectasia.</w:t>
      </w:r>
    </w:p>
    <w:p w14:paraId="6CACB2BE"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HDL cholesterol moved in the opposite direction. Controls averaged 47.62 ± 3.50 mg/dL; in the CAE group, this dropped to 32.06 ± 4.96 mg/dL, with stenosis patients intermediate at 36.47 ± 6.69 mg/dL. All three pairwise comparisons were significant (p &lt; 0.001). LDL cholesterol followed the pattern CAE &gt; stenosis &gt; control, with all pairwise differences achieving statistical significance. VLDL and non</w:t>
      </w:r>
      <w:r w:rsidRPr="00CF61FD">
        <w:rPr>
          <w:rFonts w:ascii="Arial" w:eastAsia="Times New Roman" w:hAnsi="Arial" w:cs="Arial"/>
          <w:color w:val="0F1115"/>
          <w:kern w:val="0"/>
          <w:sz w:val="20"/>
          <w:szCs w:val="20"/>
          <w:lang w:eastAsia="en-GB"/>
          <w14:ligatures w14:val="none"/>
        </w:rPr>
        <w:noBreakHyphen/>
        <w:t>HDL cholesterol similarly showed the highest values in the CAE group, followed by stenosis, then controls.</w:t>
      </w:r>
    </w:p>
    <w:p w14:paraId="48E4F4C7"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962F78">
          <w:type w:val="continuous"/>
          <w:pgSz w:w="11906" w:h="16838"/>
          <w:pgMar w:top="1440" w:right="1440" w:bottom="1440" w:left="1440" w:header="720" w:footer="720" w:gutter="0"/>
          <w:cols w:num="2" w:space="432"/>
          <w:titlePg/>
          <w:docGrid w:linePitch="360"/>
        </w:sectPr>
      </w:pPr>
    </w:p>
    <w:p w14:paraId="5F36D934" w14:textId="77777777" w:rsidR="00394967" w:rsidRPr="00CF61FD" w:rsidRDefault="00394967"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85209AD" w14:textId="4087C23A" w:rsidR="00AB01AC" w:rsidRPr="00CF61FD" w:rsidRDefault="00AB01AC" w:rsidP="00F55C2D">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Table 2</w:t>
      </w:r>
      <w:r w:rsidR="00394967">
        <w:rPr>
          <w:rFonts w:ascii="Arial" w:eastAsia="Times New Roman" w:hAnsi="Arial" w:cs="Arial"/>
          <w:b/>
          <w:bCs/>
          <w:color w:val="0F1115"/>
          <w:kern w:val="0"/>
          <w:sz w:val="20"/>
          <w:szCs w:val="20"/>
          <w:lang w:eastAsia="en-GB"/>
          <w14:ligatures w14:val="none"/>
        </w:rPr>
        <w:t xml:space="preserve">: </w:t>
      </w:r>
      <w:r w:rsidRPr="00CF61FD">
        <w:rPr>
          <w:rFonts w:ascii="Arial" w:eastAsia="Times New Roman" w:hAnsi="Arial" w:cs="Arial"/>
          <w:b/>
          <w:bCs/>
          <w:color w:val="0F1115"/>
          <w:kern w:val="0"/>
          <w:sz w:val="20"/>
          <w:szCs w:val="20"/>
          <w:lang w:eastAsia="en-GB"/>
          <w14:ligatures w14:val="none"/>
        </w:rPr>
        <w:t>Lipid profile parameters across the three study groups</w:t>
      </w:r>
    </w:p>
    <w:tbl>
      <w:tblPr>
        <w:tblW w:w="9493" w:type="dxa"/>
        <w:jc w:val="center"/>
        <w:tblLook w:val="04A0" w:firstRow="1" w:lastRow="0" w:firstColumn="1" w:lastColumn="0" w:noHBand="0" w:noVBand="1"/>
      </w:tblPr>
      <w:tblGrid>
        <w:gridCol w:w="2095"/>
        <w:gridCol w:w="1689"/>
        <w:gridCol w:w="1661"/>
        <w:gridCol w:w="1812"/>
        <w:gridCol w:w="1276"/>
        <w:gridCol w:w="960"/>
      </w:tblGrid>
      <w:tr w:rsidR="00C214D5" w:rsidRPr="00C214D5" w14:paraId="2493D9E4" w14:textId="77777777" w:rsidTr="00BD3301">
        <w:trPr>
          <w:trHeight w:val="50"/>
          <w:jc w:val="center"/>
        </w:trPr>
        <w:tc>
          <w:tcPr>
            <w:tcW w:w="2095" w:type="dxa"/>
            <w:tcBorders>
              <w:top w:val="single" w:sz="4" w:space="0" w:color="auto"/>
              <w:left w:val="nil"/>
              <w:bottom w:val="single" w:sz="4" w:space="0" w:color="auto"/>
              <w:right w:val="nil"/>
            </w:tcBorders>
            <w:noWrap/>
            <w:vAlign w:val="center"/>
            <w:hideMark/>
          </w:tcPr>
          <w:p w14:paraId="785D5995" w14:textId="77777777" w:rsidR="00C214D5" w:rsidRPr="00C214D5" w:rsidRDefault="00C214D5" w:rsidP="00BD3301">
            <w:pPr>
              <w:spacing w:after="0" w:line="240" w:lineRule="auto"/>
              <w:jc w:val="center"/>
              <w:rPr>
                <w:rFonts w:ascii="Arial" w:eastAsia="Times New Roman" w:hAnsi="Arial" w:cs="Arial"/>
                <w:b/>
                <w:bCs/>
                <w:color w:val="000000"/>
                <w:kern w:val="0"/>
                <w:sz w:val="20"/>
                <w:szCs w:val="20"/>
                <w:lang w:eastAsia="en-GB"/>
                <w14:ligatures w14:val="none"/>
              </w:rPr>
            </w:pPr>
            <w:r w:rsidRPr="00C214D5">
              <w:rPr>
                <w:rFonts w:ascii="Arial" w:eastAsia="Times New Roman" w:hAnsi="Arial" w:cs="Arial"/>
                <w:b/>
                <w:bCs/>
                <w:color w:val="000000"/>
                <w:kern w:val="0"/>
                <w:sz w:val="20"/>
                <w:szCs w:val="20"/>
                <w:lang w:eastAsia="en-GB"/>
                <w14:ligatures w14:val="none"/>
              </w:rPr>
              <w:t>Parameter (mg/dL)</w:t>
            </w:r>
          </w:p>
        </w:tc>
        <w:tc>
          <w:tcPr>
            <w:tcW w:w="1689" w:type="dxa"/>
            <w:tcBorders>
              <w:top w:val="single" w:sz="4" w:space="0" w:color="auto"/>
              <w:left w:val="nil"/>
              <w:bottom w:val="single" w:sz="4" w:space="0" w:color="auto"/>
              <w:right w:val="nil"/>
            </w:tcBorders>
            <w:noWrap/>
            <w:vAlign w:val="center"/>
            <w:hideMark/>
          </w:tcPr>
          <w:p w14:paraId="304294A7" w14:textId="77777777" w:rsidR="00C214D5" w:rsidRPr="00C214D5" w:rsidRDefault="00C214D5" w:rsidP="00BD3301">
            <w:pPr>
              <w:spacing w:after="0" w:line="240" w:lineRule="auto"/>
              <w:jc w:val="center"/>
              <w:rPr>
                <w:rFonts w:ascii="Arial" w:eastAsia="Times New Roman" w:hAnsi="Arial" w:cs="Arial"/>
                <w:b/>
                <w:bCs/>
                <w:color w:val="000000"/>
                <w:kern w:val="0"/>
                <w:sz w:val="20"/>
                <w:szCs w:val="20"/>
                <w:lang w:eastAsia="en-GB"/>
                <w14:ligatures w14:val="none"/>
              </w:rPr>
            </w:pPr>
            <w:r w:rsidRPr="00C214D5">
              <w:rPr>
                <w:rFonts w:ascii="Arial" w:eastAsia="Times New Roman" w:hAnsi="Arial" w:cs="Arial"/>
                <w:b/>
                <w:bCs/>
                <w:color w:val="000000"/>
                <w:kern w:val="0"/>
                <w:sz w:val="20"/>
                <w:szCs w:val="20"/>
                <w:lang w:eastAsia="en-GB"/>
                <w14:ligatures w14:val="none"/>
              </w:rPr>
              <w:t>Control (n=40)</w:t>
            </w:r>
          </w:p>
        </w:tc>
        <w:tc>
          <w:tcPr>
            <w:tcW w:w="1661" w:type="dxa"/>
            <w:tcBorders>
              <w:top w:val="single" w:sz="4" w:space="0" w:color="auto"/>
              <w:left w:val="nil"/>
              <w:bottom w:val="single" w:sz="4" w:space="0" w:color="auto"/>
              <w:right w:val="nil"/>
            </w:tcBorders>
            <w:noWrap/>
            <w:vAlign w:val="center"/>
            <w:hideMark/>
          </w:tcPr>
          <w:p w14:paraId="054D9753" w14:textId="77777777" w:rsidR="00C214D5" w:rsidRPr="00C214D5" w:rsidRDefault="00C214D5" w:rsidP="00BD3301">
            <w:pPr>
              <w:spacing w:after="0" w:line="240" w:lineRule="auto"/>
              <w:jc w:val="center"/>
              <w:rPr>
                <w:rFonts w:ascii="Arial" w:eastAsia="Times New Roman" w:hAnsi="Arial" w:cs="Arial"/>
                <w:b/>
                <w:bCs/>
                <w:color w:val="000000"/>
                <w:kern w:val="0"/>
                <w:sz w:val="20"/>
                <w:szCs w:val="20"/>
                <w:lang w:eastAsia="en-GB"/>
                <w14:ligatures w14:val="none"/>
              </w:rPr>
            </w:pPr>
            <w:r w:rsidRPr="00C214D5">
              <w:rPr>
                <w:rFonts w:ascii="Arial" w:eastAsia="Times New Roman" w:hAnsi="Arial" w:cs="Arial"/>
                <w:b/>
                <w:bCs/>
                <w:color w:val="000000"/>
                <w:kern w:val="0"/>
                <w:sz w:val="20"/>
                <w:szCs w:val="20"/>
                <w:lang w:eastAsia="en-GB"/>
                <w14:ligatures w14:val="none"/>
              </w:rPr>
              <w:t>CAE (n=40)</w:t>
            </w:r>
          </w:p>
        </w:tc>
        <w:tc>
          <w:tcPr>
            <w:tcW w:w="1812" w:type="dxa"/>
            <w:tcBorders>
              <w:top w:val="single" w:sz="4" w:space="0" w:color="auto"/>
              <w:left w:val="nil"/>
              <w:bottom w:val="single" w:sz="4" w:space="0" w:color="auto"/>
              <w:right w:val="nil"/>
            </w:tcBorders>
            <w:noWrap/>
            <w:vAlign w:val="center"/>
            <w:hideMark/>
          </w:tcPr>
          <w:p w14:paraId="0CB2F7AA" w14:textId="77777777" w:rsidR="00C214D5" w:rsidRPr="00C214D5" w:rsidRDefault="00C214D5" w:rsidP="00BD3301">
            <w:pPr>
              <w:spacing w:after="0" w:line="240" w:lineRule="auto"/>
              <w:jc w:val="center"/>
              <w:rPr>
                <w:rFonts w:ascii="Arial" w:eastAsia="Times New Roman" w:hAnsi="Arial" w:cs="Arial"/>
                <w:b/>
                <w:bCs/>
                <w:color w:val="000000"/>
                <w:kern w:val="0"/>
                <w:sz w:val="20"/>
                <w:szCs w:val="20"/>
                <w:lang w:eastAsia="en-GB"/>
                <w14:ligatures w14:val="none"/>
              </w:rPr>
            </w:pPr>
            <w:r w:rsidRPr="00C214D5">
              <w:rPr>
                <w:rFonts w:ascii="Arial" w:eastAsia="Times New Roman" w:hAnsi="Arial" w:cs="Arial"/>
                <w:b/>
                <w:bCs/>
                <w:color w:val="000000"/>
                <w:kern w:val="0"/>
                <w:sz w:val="20"/>
                <w:szCs w:val="20"/>
                <w:lang w:eastAsia="en-GB"/>
                <w14:ligatures w14:val="none"/>
              </w:rPr>
              <w:t>Stenosis (n=40)</w:t>
            </w:r>
          </w:p>
        </w:tc>
        <w:tc>
          <w:tcPr>
            <w:tcW w:w="1276" w:type="dxa"/>
            <w:tcBorders>
              <w:top w:val="single" w:sz="4" w:space="0" w:color="auto"/>
              <w:left w:val="nil"/>
              <w:bottom w:val="single" w:sz="4" w:space="0" w:color="auto"/>
              <w:right w:val="nil"/>
            </w:tcBorders>
            <w:noWrap/>
            <w:vAlign w:val="center"/>
            <w:hideMark/>
          </w:tcPr>
          <w:p w14:paraId="48D3E430" w14:textId="77777777" w:rsidR="00C214D5" w:rsidRPr="00C214D5" w:rsidRDefault="00C214D5" w:rsidP="00BD3301">
            <w:pPr>
              <w:spacing w:after="0" w:line="240" w:lineRule="auto"/>
              <w:jc w:val="center"/>
              <w:rPr>
                <w:rFonts w:ascii="Arial" w:eastAsia="Times New Roman" w:hAnsi="Arial" w:cs="Arial"/>
                <w:b/>
                <w:bCs/>
                <w:color w:val="000000"/>
                <w:kern w:val="0"/>
                <w:sz w:val="20"/>
                <w:szCs w:val="20"/>
                <w:lang w:eastAsia="en-GB"/>
                <w14:ligatures w14:val="none"/>
              </w:rPr>
            </w:pPr>
            <w:r w:rsidRPr="00C214D5">
              <w:rPr>
                <w:rFonts w:ascii="Arial" w:eastAsia="Times New Roman" w:hAnsi="Arial" w:cs="Arial"/>
                <w:b/>
                <w:bCs/>
                <w:color w:val="000000"/>
                <w:kern w:val="0"/>
                <w:sz w:val="20"/>
                <w:szCs w:val="20"/>
                <w:lang w:eastAsia="en-GB"/>
                <w14:ligatures w14:val="none"/>
              </w:rPr>
              <w:t>H statistic</w:t>
            </w:r>
          </w:p>
        </w:tc>
        <w:tc>
          <w:tcPr>
            <w:tcW w:w="960" w:type="dxa"/>
            <w:tcBorders>
              <w:top w:val="single" w:sz="4" w:space="0" w:color="auto"/>
              <w:left w:val="nil"/>
              <w:bottom w:val="single" w:sz="4" w:space="0" w:color="auto"/>
              <w:right w:val="nil"/>
            </w:tcBorders>
            <w:noWrap/>
            <w:vAlign w:val="center"/>
            <w:hideMark/>
          </w:tcPr>
          <w:p w14:paraId="03E5DE75" w14:textId="77777777" w:rsidR="00C214D5" w:rsidRPr="00C214D5" w:rsidRDefault="00C214D5" w:rsidP="00BD3301">
            <w:pPr>
              <w:spacing w:after="0" w:line="240" w:lineRule="auto"/>
              <w:jc w:val="center"/>
              <w:rPr>
                <w:rFonts w:ascii="Arial" w:eastAsia="Times New Roman" w:hAnsi="Arial" w:cs="Arial"/>
                <w:b/>
                <w:bCs/>
                <w:color w:val="000000"/>
                <w:kern w:val="0"/>
                <w:sz w:val="20"/>
                <w:szCs w:val="20"/>
                <w:lang w:eastAsia="en-GB"/>
                <w14:ligatures w14:val="none"/>
              </w:rPr>
            </w:pPr>
            <w:r w:rsidRPr="00C214D5">
              <w:rPr>
                <w:rFonts w:ascii="Arial" w:eastAsia="Times New Roman" w:hAnsi="Arial" w:cs="Arial"/>
                <w:b/>
                <w:bCs/>
                <w:color w:val="000000"/>
                <w:kern w:val="0"/>
                <w:sz w:val="20"/>
                <w:szCs w:val="20"/>
                <w:lang w:eastAsia="en-GB"/>
                <w14:ligatures w14:val="none"/>
              </w:rPr>
              <w:t>p-value</w:t>
            </w:r>
          </w:p>
        </w:tc>
      </w:tr>
      <w:tr w:rsidR="00C214D5" w:rsidRPr="00C214D5" w14:paraId="02B6F80C" w14:textId="77777777" w:rsidTr="00BD3301">
        <w:trPr>
          <w:trHeight w:val="50"/>
          <w:jc w:val="center"/>
        </w:trPr>
        <w:tc>
          <w:tcPr>
            <w:tcW w:w="2095" w:type="dxa"/>
            <w:tcBorders>
              <w:top w:val="nil"/>
              <w:left w:val="nil"/>
              <w:bottom w:val="nil"/>
              <w:right w:val="nil"/>
            </w:tcBorders>
            <w:noWrap/>
            <w:vAlign w:val="center"/>
            <w:hideMark/>
          </w:tcPr>
          <w:p w14:paraId="571AB9D2" w14:textId="77777777" w:rsidR="00C214D5" w:rsidRPr="00C214D5" w:rsidRDefault="00C214D5" w:rsidP="00C214D5">
            <w:pPr>
              <w:spacing w:after="0" w:line="240" w:lineRule="auto"/>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Total cholesterol</w:t>
            </w:r>
          </w:p>
        </w:tc>
        <w:tc>
          <w:tcPr>
            <w:tcW w:w="1689" w:type="dxa"/>
            <w:tcBorders>
              <w:top w:val="nil"/>
              <w:left w:val="nil"/>
              <w:bottom w:val="nil"/>
              <w:right w:val="nil"/>
            </w:tcBorders>
            <w:noWrap/>
            <w:vAlign w:val="center"/>
            <w:hideMark/>
          </w:tcPr>
          <w:p w14:paraId="37579DC2"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119.82 ± 13.48</w:t>
            </w:r>
          </w:p>
        </w:tc>
        <w:tc>
          <w:tcPr>
            <w:tcW w:w="1661" w:type="dxa"/>
            <w:tcBorders>
              <w:top w:val="nil"/>
              <w:left w:val="nil"/>
              <w:bottom w:val="nil"/>
              <w:right w:val="nil"/>
            </w:tcBorders>
            <w:noWrap/>
            <w:vAlign w:val="center"/>
            <w:hideMark/>
          </w:tcPr>
          <w:p w14:paraId="374BE79B"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229.22 ± 45.52</w:t>
            </w:r>
          </w:p>
        </w:tc>
        <w:tc>
          <w:tcPr>
            <w:tcW w:w="1812" w:type="dxa"/>
            <w:tcBorders>
              <w:top w:val="nil"/>
              <w:left w:val="nil"/>
              <w:bottom w:val="nil"/>
              <w:right w:val="nil"/>
            </w:tcBorders>
            <w:noWrap/>
            <w:vAlign w:val="center"/>
            <w:hideMark/>
          </w:tcPr>
          <w:p w14:paraId="7600EDC3"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198.12 ± 46.48</w:t>
            </w:r>
          </w:p>
        </w:tc>
        <w:tc>
          <w:tcPr>
            <w:tcW w:w="1276" w:type="dxa"/>
            <w:tcBorders>
              <w:top w:val="nil"/>
              <w:left w:val="nil"/>
              <w:bottom w:val="nil"/>
              <w:right w:val="nil"/>
            </w:tcBorders>
            <w:noWrap/>
            <w:vAlign w:val="center"/>
            <w:hideMark/>
          </w:tcPr>
          <w:p w14:paraId="1CAE447C"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76.65</w:t>
            </w:r>
          </w:p>
        </w:tc>
        <w:tc>
          <w:tcPr>
            <w:tcW w:w="960" w:type="dxa"/>
            <w:tcBorders>
              <w:top w:val="nil"/>
              <w:left w:val="nil"/>
              <w:bottom w:val="nil"/>
              <w:right w:val="nil"/>
            </w:tcBorders>
            <w:noWrap/>
            <w:vAlign w:val="center"/>
            <w:hideMark/>
          </w:tcPr>
          <w:p w14:paraId="6485F939"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&lt;0.001*</w:t>
            </w:r>
          </w:p>
        </w:tc>
      </w:tr>
      <w:tr w:rsidR="00C214D5" w:rsidRPr="00C214D5" w14:paraId="7AE06BDF" w14:textId="77777777" w:rsidTr="00BD3301">
        <w:trPr>
          <w:trHeight w:val="60"/>
          <w:jc w:val="center"/>
        </w:trPr>
        <w:tc>
          <w:tcPr>
            <w:tcW w:w="2095" w:type="dxa"/>
            <w:tcBorders>
              <w:top w:val="nil"/>
              <w:left w:val="nil"/>
              <w:bottom w:val="nil"/>
              <w:right w:val="nil"/>
            </w:tcBorders>
            <w:noWrap/>
            <w:vAlign w:val="center"/>
            <w:hideMark/>
          </w:tcPr>
          <w:p w14:paraId="40568CE5" w14:textId="77777777" w:rsidR="00C214D5" w:rsidRPr="00C214D5" w:rsidRDefault="00C214D5" w:rsidP="00C214D5">
            <w:pPr>
              <w:spacing w:after="0" w:line="240" w:lineRule="auto"/>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Triglycerides</w:t>
            </w:r>
          </w:p>
        </w:tc>
        <w:tc>
          <w:tcPr>
            <w:tcW w:w="1689" w:type="dxa"/>
            <w:tcBorders>
              <w:top w:val="nil"/>
              <w:left w:val="nil"/>
              <w:bottom w:val="nil"/>
              <w:right w:val="nil"/>
            </w:tcBorders>
            <w:noWrap/>
            <w:vAlign w:val="center"/>
            <w:hideMark/>
          </w:tcPr>
          <w:p w14:paraId="5368114C"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93.63 ± 17.84</w:t>
            </w:r>
          </w:p>
        </w:tc>
        <w:tc>
          <w:tcPr>
            <w:tcW w:w="1661" w:type="dxa"/>
            <w:tcBorders>
              <w:top w:val="nil"/>
              <w:left w:val="nil"/>
              <w:bottom w:val="nil"/>
              <w:right w:val="nil"/>
            </w:tcBorders>
            <w:noWrap/>
            <w:vAlign w:val="center"/>
            <w:hideMark/>
          </w:tcPr>
          <w:p w14:paraId="5A6C74DD"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257.40 ± 67.98</w:t>
            </w:r>
          </w:p>
        </w:tc>
        <w:tc>
          <w:tcPr>
            <w:tcW w:w="1812" w:type="dxa"/>
            <w:tcBorders>
              <w:top w:val="nil"/>
              <w:left w:val="nil"/>
              <w:bottom w:val="nil"/>
              <w:right w:val="nil"/>
            </w:tcBorders>
            <w:noWrap/>
            <w:vAlign w:val="center"/>
            <w:hideMark/>
          </w:tcPr>
          <w:p w14:paraId="0DCC1D7A"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201.62 ± 58.81</w:t>
            </w:r>
          </w:p>
        </w:tc>
        <w:tc>
          <w:tcPr>
            <w:tcW w:w="1276" w:type="dxa"/>
            <w:tcBorders>
              <w:top w:val="nil"/>
              <w:left w:val="nil"/>
              <w:bottom w:val="nil"/>
              <w:right w:val="nil"/>
            </w:tcBorders>
            <w:noWrap/>
            <w:vAlign w:val="center"/>
            <w:hideMark/>
          </w:tcPr>
          <w:p w14:paraId="6A9386F7"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82.41</w:t>
            </w:r>
          </w:p>
        </w:tc>
        <w:tc>
          <w:tcPr>
            <w:tcW w:w="960" w:type="dxa"/>
            <w:tcBorders>
              <w:top w:val="nil"/>
              <w:left w:val="nil"/>
              <w:bottom w:val="nil"/>
              <w:right w:val="nil"/>
            </w:tcBorders>
            <w:noWrap/>
            <w:vAlign w:val="center"/>
            <w:hideMark/>
          </w:tcPr>
          <w:p w14:paraId="38ADB408"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&lt;0.001*</w:t>
            </w:r>
          </w:p>
        </w:tc>
      </w:tr>
      <w:tr w:rsidR="00C214D5" w:rsidRPr="00C214D5" w14:paraId="610FB8FA" w14:textId="77777777" w:rsidTr="00BD3301">
        <w:trPr>
          <w:trHeight w:val="60"/>
          <w:jc w:val="center"/>
        </w:trPr>
        <w:tc>
          <w:tcPr>
            <w:tcW w:w="2095" w:type="dxa"/>
            <w:tcBorders>
              <w:top w:val="nil"/>
              <w:left w:val="nil"/>
              <w:bottom w:val="nil"/>
              <w:right w:val="nil"/>
            </w:tcBorders>
            <w:noWrap/>
            <w:vAlign w:val="center"/>
            <w:hideMark/>
          </w:tcPr>
          <w:p w14:paraId="0E974978" w14:textId="77777777" w:rsidR="00C214D5" w:rsidRPr="00C214D5" w:rsidRDefault="00C214D5" w:rsidP="00C214D5">
            <w:pPr>
              <w:spacing w:after="0" w:line="240" w:lineRule="auto"/>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HDL</w:t>
            </w:r>
            <w:r w:rsidRPr="00C214D5">
              <w:rPr>
                <w:rFonts w:ascii="Arial" w:eastAsia="Times New Roman" w:hAnsi="Arial" w:cs="Arial"/>
                <w:color w:val="000000"/>
                <w:kern w:val="0"/>
                <w:sz w:val="20"/>
                <w:szCs w:val="20"/>
                <w:lang w:eastAsia="en-GB"/>
                <w14:ligatures w14:val="none"/>
              </w:rPr>
              <w:noBreakHyphen/>
              <w:t>C</w:t>
            </w:r>
          </w:p>
        </w:tc>
        <w:tc>
          <w:tcPr>
            <w:tcW w:w="1689" w:type="dxa"/>
            <w:tcBorders>
              <w:top w:val="nil"/>
              <w:left w:val="nil"/>
              <w:bottom w:val="nil"/>
              <w:right w:val="nil"/>
            </w:tcBorders>
            <w:noWrap/>
            <w:vAlign w:val="center"/>
            <w:hideMark/>
          </w:tcPr>
          <w:p w14:paraId="5CEA3305"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47.62 ± 3.50</w:t>
            </w:r>
          </w:p>
        </w:tc>
        <w:tc>
          <w:tcPr>
            <w:tcW w:w="1661" w:type="dxa"/>
            <w:tcBorders>
              <w:top w:val="nil"/>
              <w:left w:val="nil"/>
              <w:bottom w:val="nil"/>
              <w:right w:val="nil"/>
            </w:tcBorders>
            <w:noWrap/>
            <w:vAlign w:val="center"/>
            <w:hideMark/>
          </w:tcPr>
          <w:p w14:paraId="1FB42A06"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32.06 ± 4.96</w:t>
            </w:r>
          </w:p>
        </w:tc>
        <w:tc>
          <w:tcPr>
            <w:tcW w:w="1812" w:type="dxa"/>
            <w:tcBorders>
              <w:top w:val="nil"/>
              <w:left w:val="nil"/>
              <w:bottom w:val="nil"/>
              <w:right w:val="nil"/>
            </w:tcBorders>
            <w:noWrap/>
            <w:vAlign w:val="center"/>
            <w:hideMark/>
          </w:tcPr>
          <w:p w14:paraId="5DBCEE89"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36.47 ± 6.69</w:t>
            </w:r>
          </w:p>
        </w:tc>
        <w:tc>
          <w:tcPr>
            <w:tcW w:w="1276" w:type="dxa"/>
            <w:tcBorders>
              <w:top w:val="nil"/>
              <w:left w:val="nil"/>
              <w:bottom w:val="nil"/>
              <w:right w:val="nil"/>
            </w:tcBorders>
            <w:noWrap/>
            <w:vAlign w:val="center"/>
            <w:hideMark/>
          </w:tcPr>
          <w:p w14:paraId="3417ED1D"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70.23</w:t>
            </w:r>
          </w:p>
        </w:tc>
        <w:tc>
          <w:tcPr>
            <w:tcW w:w="960" w:type="dxa"/>
            <w:tcBorders>
              <w:top w:val="nil"/>
              <w:left w:val="nil"/>
              <w:bottom w:val="nil"/>
              <w:right w:val="nil"/>
            </w:tcBorders>
            <w:noWrap/>
            <w:vAlign w:val="center"/>
            <w:hideMark/>
          </w:tcPr>
          <w:p w14:paraId="14F0483B"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&lt;0.001*</w:t>
            </w:r>
          </w:p>
        </w:tc>
      </w:tr>
      <w:tr w:rsidR="00C214D5" w:rsidRPr="00C214D5" w14:paraId="2DE8583D" w14:textId="77777777" w:rsidTr="00BD3301">
        <w:trPr>
          <w:trHeight w:val="60"/>
          <w:jc w:val="center"/>
        </w:trPr>
        <w:tc>
          <w:tcPr>
            <w:tcW w:w="2095" w:type="dxa"/>
            <w:tcBorders>
              <w:top w:val="nil"/>
              <w:left w:val="nil"/>
              <w:bottom w:val="nil"/>
              <w:right w:val="nil"/>
            </w:tcBorders>
            <w:noWrap/>
            <w:vAlign w:val="center"/>
            <w:hideMark/>
          </w:tcPr>
          <w:p w14:paraId="33383BD8" w14:textId="77777777" w:rsidR="00C214D5" w:rsidRPr="00C214D5" w:rsidRDefault="00C214D5" w:rsidP="00C214D5">
            <w:pPr>
              <w:spacing w:after="0" w:line="240" w:lineRule="auto"/>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LDL</w:t>
            </w:r>
            <w:r w:rsidRPr="00C214D5">
              <w:rPr>
                <w:rFonts w:ascii="Arial" w:eastAsia="Times New Roman" w:hAnsi="Arial" w:cs="Arial"/>
                <w:color w:val="000000"/>
                <w:kern w:val="0"/>
                <w:sz w:val="20"/>
                <w:szCs w:val="20"/>
                <w:lang w:eastAsia="en-GB"/>
                <w14:ligatures w14:val="none"/>
              </w:rPr>
              <w:noBreakHyphen/>
              <w:t>C</w:t>
            </w:r>
          </w:p>
        </w:tc>
        <w:tc>
          <w:tcPr>
            <w:tcW w:w="1689" w:type="dxa"/>
            <w:tcBorders>
              <w:top w:val="nil"/>
              <w:left w:val="nil"/>
              <w:bottom w:val="nil"/>
              <w:right w:val="nil"/>
            </w:tcBorders>
            <w:noWrap/>
            <w:vAlign w:val="center"/>
            <w:hideMark/>
          </w:tcPr>
          <w:p w14:paraId="0F5C8BF6"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90.46 ± 13.63</w:t>
            </w:r>
          </w:p>
        </w:tc>
        <w:tc>
          <w:tcPr>
            <w:tcW w:w="1661" w:type="dxa"/>
            <w:tcBorders>
              <w:top w:val="nil"/>
              <w:left w:val="nil"/>
              <w:bottom w:val="nil"/>
              <w:right w:val="nil"/>
            </w:tcBorders>
            <w:noWrap/>
            <w:vAlign w:val="center"/>
            <w:hideMark/>
          </w:tcPr>
          <w:p w14:paraId="6C722293"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165.46 ± 33.21</w:t>
            </w:r>
          </w:p>
        </w:tc>
        <w:tc>
          <w:tcPr>
            <w:tcW w:w="1812" w:type="dxa"/>
            <w:tcBorders>
              <w:top w:val="nil"/>
              <w:left w:val="nil"/>
              <w:bottom w:val="nil"/>
              <w:right w:val="nil"/>
            </w:tcBorders>
            <w:noWrap/>
            <w:vAlign w:val="center"/>
            <w:hideMark/>
          </w:tcPr>
          <w:p w14:paraId="71A542CE"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129.50 ± 41.38</w:t>
            </w:r>
          </w:p>
        </w:tc>
        <w:tc>
          <w:tcPr>
            <w:tcW w:w="1276" w:type="dxa"/>
            <w:tcBorders>
              <w:top w:val="nil"/>
              <w:left w:val="nil"/>
              <w:bottom w:val="nil"/>
              <w:right w:val="nil"/>
            </w:tcBorders>
            <w:noWrap/>
            <w:vAlign w:val="center"/>
            <w:hideMark/>
          </w:tcPr>
          <w:p w14:paraId="6C00DE22"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56.19</w:t>
            </w:r>
          </w:p>
        </w:tc>
        <w:tc>
          <w:tcPr>
            <w:tcW w:w="960" w:type="dxa"/>
            <w:tcBorders>
              <w:top w:val="nil"/>
              <w:left w:val="nil"/>
              <w:bottom w:val="nil"/>
              <w:right w:val="nil"/>
            </w:tcBorders>
            <w:noWrap/>
            <w:vAlign w:val="center"/>
            <w:hideMark/>
          </w:tcPr>
          <w:p w14:paraId="78569D95"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&lt;0.001*</w:t>
            </w:r>
          </w:p>
        </w:tc>
      </w:tr>
      <w:tr w:rsidR="00C214D5" w:rsidRPr="00C214D5" w14:paraId="288431F7" w14:textId="77777777" w:rsidTr="00BD3301">
        <w:trPr>
          <w:trHeight w:val="60"/>
          <w:jc w:val="center"/>
        </w:trPr>
        <w:tc>
          <w:tcPr>
            <w:tcW w:w="2095" w:type="dxa"/>
            <w:tcBorders>
              <w:top w:val="nil"/>
              <w:left w:val="nil"/>
              <w:bottom w:val="nil"/>
              <w:right w:val="nil"/>
            </w:tcBorders>
            <w:noWrap/>
            <w:vAlign w:val="center"/>
            <w:hideMark/>
          </w:tcPr>
          <w:p w14:paraId="458DE06B" w14:textId="77777777" w:rsidR="00C214D5" w:rsidRPr="00C214D5" w:rsidRDefault="00C214D5" w:rsidP="00C214D5">
            <w:pPr>
              <w:spacing w:after="0" w:line="240" w:lineRule="auto"/>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VLDL</w:t>
            </w:r>
          </w:p>
        </w:tc>
        <w:tc>
          <w:tcPr>
            <w:tcW w:w="1689" w:type="dxa"/>
            <w:tcBorders>
              <w:top w:val="nil"/>
              <w:left w:val="nil"/>
              <w:bottom w:val="nil"/>
              <w:right w:val="nil"/>
            </w:tcBorders>
            <w:noWrap/>
            <w:vAlign w:val="center"/>
            <w:hideMark/>
          </w:tcPr>
          <w:p w14:paraId="6EE754EA"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18.73 ± 3.57</w:t>
            </w:r>
          </w:p>
        </w:tc>
        <w:tc>
          <w:tcPr>
            <w:tcW w:w="1661" w:type="dxa"/>
            <w:tcBorders>
              <w:top w:val="nil"/>
              <w:left w:val="nil"/>
              <w:bottom w:val="nil"/>
              <w:right w:val="nil"/>
            </w:tcBorders>
            <w:noWrap/>
            <w:vAlign w:val="center"/>
            <w:hideMark/>
          </w:tcPr>
          <w:p w14:paraId="3BB1925D"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51.48 ± 13.60</w:t>
            </w:r>
          </w:p>
        </w:tc>
        <w:tc>
          <w:tcPr>
            <w:tcW w:w="1812" w:type="dxa"/>
            <w:tcBorders>
              <w:top w:val="nil"/>
              <w:left w:val="nil"/>
              <w:bottom w:val="nil"/>
              <w:right w:val="nil"/>
            </w:tcBorders>
            <w:noWrap/>
            <w:vAlign w:val="center"/>
            <w:hideMark/>
          </w:tcPr>
          <w:p w14:paraId="2648CF48"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40.32 ± 11.76</w:t>
            </w:r>
          </w:p>
        </w:tc>
        <w:tc>
          <w:tcPr>
            <w:tcW w:w="1276" w:type="dxa"/>
            <w:tcBorders>
              <w:top w:val="nil"/>
              <w:left w:val="nil"/>
              <w:bottom w:val="nil"/>
              <w:right w:val="nil"/>
            </w:tcBorders>
            <w:noWrap/>
            <w:vAlign w:val="center"/>
            <w:hideMark/>
          </w:tcPr>
          <w:p w14:paraId="5244BA4C"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82.41</w:t>
            </w:r>
          </w:p>
        </w:tc>
        <w:tc>
          <w:tcPr>
            <w:tcW w:w="960" w:type="dxa"/>
            <w:tcBorders>
              <w:top w:val="nil"/>
              <w:left w:val="nil"/>
              <w:bottom w:val="nil"/>
              <w:right w:val="nil"/>
            </w:tcBorders>
            <w:noWrap/>
            <w:vAlign w:val="center"/>
            <w:hideMark/>
          </w:tcPr>
          <w:p w14:paraId="31ABD7D7"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&lt;0.001*</w:t>
            </w:r>
          </w:p>
        </w:tc>
      </w:tr>
      <w:tr w:rsidR="00C214D5" w:rsidRPr="00C214D5" w14:paraId="56C0CD1B" w14:textId="77777777" w:rsidTr="00BD3301">
        <w:trPr>
          <w:trHeight w:val="60"/>
          <w:jc w:val="center"/>
        </w:trPr>
        <w:tc>
          <w:tcPr>
            <w:tcW w:w="2095" w:type="dxa"/>
            <w:tcBorders>
              <w:top w:val="nil"/>
              <w:left w:val="nil"/>
              <w:bottom w:val="single" w:sz="4" w:space="0" w:color="auto"/>
              <w:right w:val="nil"/>
            </w:tcBorders>
            <w:noWrap/>
            <w:vAlign w:val="center"/>
            <w:hideMark/>
          </w:tcPr>
          <w:p w14:paraId="727DA8EB" w14:textId="77777777" w:rsidR="00C214D5" w:rsidRPr="00C214D5" w:rsidRDefault="00C214D5" w:rsidP="00C214D5">
            <w:pPr>
              <w:spacing w:after="0" w:line="240" w:lineRule="auto"/>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Non</w:t>
            </w:r>
            <w:r w:rsidRPr="00C214D5">
              <w:rPr>
                <w:rFonts w:ascii="Arial" w:eastAsia="Times New Roman" w:hAnsi="Arial" w:cs="Arial"/>
                <w:color w:val="000000"/>
                <w:kern w:val="0"/>
                <w:sz w:val="20"/>
                <w:szCs w:val="20"/>
                <w:lang w:eastAsia="en-GB"/>
                <w14:ligatures w14:val="none"/>
              </w:rPr>
              <w:noBreakHyphen/>
              <w:t>HDL</w:t>
            </w:r>
            <w:r w:rsidRPr="00C214D5">
              <w:rPr>
                <w:rFonts w:ascii="Arial" w:eastAsia="Times New Roman" w:hAnsi="Arial" w:cs="Arial"/>
                <w:color w:val="000000"/>
                <w:kern w:val="0"/>
                <w:sz w:val="20"/>
                <w:szCs w:val="20"/>
                <w:lang w:eastAsia="en-GB"/>
                <w14:ligatures w14:val="none"/>
              </w:rPr>
              <w:noBreakHyphen/>
              <w:t>C</w:t>
            </w:r>
          </w:p>
        </w:tc>
        <w:tc>
          <w:tcPr>
            <w:tcW w:w="1689" w:type="dxa"/>
            <w:tcBorders>
              <w:top w:val="nil"/>
              <w:left w:val="nil"/>
              <w:bottom w:val="single" w:sz="4" w:space="0" w:color="auto"/>
              <w:right w:val="nil"/>
            </w:tcBorders>
            <w:noWrap/>
            <w:vAlign w:val="center"/>
            <w:hideMark/>
          </w:tcPr>
          <w:p w14:paraId="59C6378E"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72.21 ± 15.15</w:t>
            </w:r>
          </w:p>
        </w:tc>
        <w:tc>
          <w:tcPr>
            <w:tcW w:w="1661" w:type="dxa"/>
            <w:tcBorders>
              <w:top w:val="nil"/>
              <w:left w:val="nil"/>
              <w:bottom w:val="single" w:sz="4" w:space="0" w:color="auto"/>
              <w:right w:val="nil"/>
            </w:tcBorders>
            <w:noWrap/>
            <w:vAlign w:val="center"/>
            <w:hideMark/>
          </w:tcPr>
          <w:p w14:paraId="244E29EA"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197.16 ± 47.01</w:t>
            </w:r>
          </w:p>
        </w:tc>
        <w:tc>
          <w:tcPr>
            <w:tcW w:w="1812" w:type="dxa"/>
            <w:tcBorders>
              <w:top w:val="nil"/>
              <w:left w:val="nil"/>
              <w:bottom w:val="single" w:sz="4" w:space="0" w:color="auto"/>
              <w:right w:val="nil"/>
            </w:tcBorders>
            <w:noWrap/>
            <w:vAlign w:val="center"/>
            <w:hideMark/>
          </w:tcPr>
          <w:p w14:paraId="65AABBFD"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161.65 ± 47.19</w:t>
            </w:r>
          </w:p>
        </w:tc>
        <w:tc>
          <w:tcPr>
            <w:tcW w:w="1276" w:type="dxa"/>
            <w:tcBorders>
              <w:top w:val="nil"/>
              <w:left w:val="nil"/>
              <w:bottom w:val="single" w:sz="4" w:space="0" w:color="auto"/>
              <w:right w:val="nil"/>
            </w:tcBorders>
            <w:noWrap/>
            <w:vAlign w:val="center"/>
            <w:hideMark/>
          </w:tcPr>
          <w:p w14:paraId="61FACBC6"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81.41</w:t>
            </w:r>
          </w:p>
        </w:tc>
        <w:tc>
          <w:tcPr>
            <w:tcW w:w="960" w:type="dxa"/>
            <w:tcBorders>
              <w:top w:val="nil"/>
              <w:left w:val="nil"/>
              <w:bottom w:val="single" w:sz="4" w:space="0" w:color="auto"/>
              <w:right w:val="nil"/>
            </w:tcBorders>
            <w:noWrap/>
            <w:vAlign w:val="center"/>
            <w:hideMark/>
          </w:tcPr>
          <w:p w14:paraId="6D685639" w14:textId="77777777" w:rsidR="00C214D5" w:rsidRPr="00C214D5" w:rsidRDefault="00C214D5" w:rsidP="00BD3301">
            <w:pPr>
              <w:spacing w:after="0" w:line="240" w:lineRule="auto"/>
              <w:jc w:val="center"/>
              <w:rPr>
                <w:rFonts w:ascii="Arial" w:eastAsia="Times New Roman" w:hAnsi="Arial" w:cs="Arial"/>
                <w:color w:val="000000"/>
                <w:kern w:val="0"/>
                <w:sz w:val="20"/>
                <w:szCs w:val="20"/>
                <w:lang w:eastAsia="en-GB"/>
                <w14:ligatures w14:val="none"/>
              </w:rPr>
            </w:pPr>
            <w:r w:rsidRPr="00C214D5">
              <w:rPr>
                <w:rFonts w:ascii="Arial" w:eastAsia="Times New Roman" w:hAnsi="Arial" w:cs="Arial"/>
                <w:color w:val="000000"/>
                <w:kern w:val="0"/>
                <w:sz w:val="20"/>
                <w:szCs w:val="20"/>
                <w:lang w:eastAsia="en-GB"/>
                <w14:ligatures w14:val="none"/>
              </w:rPr>
              <w:t>&lt;0.001*</w:t>
            </w:r>
          </w:p>
        </w:tc>
      </w:tr>
    </w:tbl>
    <w:p w14:paraId="0A354285" w14:textId="31807F06" w:rsidR="00AB01AC" w:rsidRDefault="00AB01AC" w:rsidP="0061161D">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*Data presented as mean ± SD. Kruskal–Wallis H test used. All pairwise comparisons (Control vs CAE, Control vs Stenosis, CAE vs Stenosis) were significant after Bonferroni correction (p &lt; 0.05) for all parameters. *p &lt; 0.05. HDL</w:t>
      </w:r>
      <w:r w:rsidRPr="00CF61FD">
        <w:rPr>
          <w:rFonts w:ascii="Arial" w:eastAsia="Times New Roman" w:hAnsi="Arial" w:cs="Arial"/>
          <w:color w:val="0F1115"/>
          <w:kern w:val="0"/>
          <w:sz w:val="20"/>
          <w:szCs w:val="20"/>
          <w:lang w:eastAsia="en-GB"/>
          <w14:ligatures w14:val="none"/>
        </w:rPr>
        <w:noBreakHyphen/>
        <w:t>C = high</w:t>
      </w:r>
      <w:r w:rsidRPr="00CF61FD">
        <w:rPr>
          <w:rFonts w:ascii="Arial" w:eastAsia="Times New Roman" w:hAnsi="Arial" w:cs="Arial"/>
          <w:color w:val="0F1115"/>
          <w:kern w:val="0"/>
          <w:sz w:val="20"/>
          <w:szCs w:val="20"/>
          <w:lang w:eastAsia="en-GB"/>
          <w14:ligatures w14:val="none"/>
        </w:rPr>
        <w:noBreakHyphen/>
        <w:t>density lipoprotein cholesterol; LDL</w:t>
      </w:r>
      <w:r w:rsidRPr="00CF61FD">
        <w:rPr>
          <w:rFonts w:ascii="Arial" w:eastAsia="Times New Roman" w:hAnsi="Arial" w:cs="Arial"/>
          <w:color w:val="0F1115"/>
          <w:kern w:val="0"/>
          <w:sz w:val="20"/>
          <w:szCs w:val="20"/>
          <w:lang w:eastAsia="en-GB"/>
          <w14:ligatures w14:val="none"/>
        </w:rPr>
        <w:noBreakHyphen/>
        <w:t>C = low</w:t>
      </w:r>
      <w:r w:rsidRPr="00CF61FD">
        <w:rPr>
          <w:rFonts w:ascii="Arial" w:eastAsia="Times New Roman" w:hAnsi="Arial" w:cs="Arial"/>
          <w:color w:val="0F1115"/>
          <w:kern w:val="0"/>
          <w:sz w:val="20"/>
          <w:szCs w:val="20"/>
          <w:lang w:eastAsia="en-GB"/>
          <w14:ligatures w14:val="none"/>
        </w:rPr>
        <w:noBreakHyphen/>
        <w:t>density lipoprotein cholesterol; VLDL = very low</w:t>
      </w:r>
      <w:r w:rsidRPr="00CF61FD">
        <w:rPr>
          <w:rFonts w:ascii="Arial" w:eastAsia="Times New Roman" w:hAnsi="Arial" w:cs="Arial"/>
          <w:color w:val="0F1115"/>
          <w:kern w:val="0"/>
          <w:sz w:val="20"/>
          <w:szCs w:val="20"/>
          <w:lang w:eastAsia="en-GB"/>
          <w14:ligatures w14:val="none"/>
        </w:rPr>
        <w:noBreakHyphen/>
        <w:t>density lipoprotein.*</w:t>
      </w:r>
    </w:p>
    <w:p w14:paraId="698D9D5D" w14:textId="77777777" w:rsidR="00140D95" w:rsidRDefault="00140D9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C75ACA1" w14:textId="77777777" w:rsidR="00D204F0" w:rsidRDefault="00D204F0"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204F0" w:rsidSect="00962F78">
          <w:type w:val="continuous"/>
          <w:pgSz w:w="11906" w:h="16838"/>
          <w:pgMar w:top="1440" w:right="1440" w:bottom="1440" w:left="1440" w:header="720" w:footer="720" w:gutter="0"/>
          <w:cols w:space="720"/>
          <w:titlePg/>
          <w:docGrid w:linePitch="360"/>
        </w:sectPr>
      </w:pPr>
    </w:p>
    <w:p w14:paraId="7FE5BDBD" w14:textId="51F9AE5D" w:rsidR="00140D95" w:rsidRDefault="00745C84" w:rsidP="003535C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lastRenderedPageBreak/>
        <w:drawing>
          <wp:inline distT="0" distB="0" distL="0" distR="0" wp14:anchorId="2EECEE97" wp14:editId="0DE25AAF">
            <wp:extent cx="1718636" cy="1341089"/>
            <wp:effectExtent l="0" t="0" r="0" b="0"/>
            <wp:docPr id="8737626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8265" cy="1364209"/>
                    </a:xfrm>
                    <a:prstGeom prst="rect">
                      <a:avLst/>
                    </a:prstGeom>
                    <a:noFill/>
                  </pic:spPr>
                </pic:pic>
              </a:graphicData>
            </a:graphic>
          </wp:inline>
        </w:drawing>
      </w:r>
    </w:p>
    <w:p w14:paraId="732ABA43" w14:textId="0AF8EBF4" w:rsidR="006B308D" w:rsidRPr="006B308D" w:rsidRDefault="006B308D" w:rsidP="006B308D">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6B308D">
        <w:rPr>
          <w:rFonts w:ascii="Arial" w:eastAsia="Times New Roman" w:hAnsi="Arial" w:cs="Arial"/>
          <w:b/>
          <w:bCs/>
          <w:color w:val="0F1115"/>
          <w:kern w:val="0"/>
          <w:sz w:val="20"/>
          <w:szCs w:val="20"/>
          <w:lang w:eastAsia="en-GB"/>
          <w14:ligatures w14:val="none"/>
        </w:rPr>
        <w:t>Figure 3</w:t>
      </w:r>
      <w:r>
        <w:rPr>
          <w:rFonts w:ascii="Arial" w:eastAsia="Times New Roman" w:hAnsi="Arial" w:cs="Arial"/>
          <w:b/>
          <w:bCs/>
          <w:color w:val="0F1115"/>
          <w:kern w:val="0"/>
          <w:sz w:val="20"/>
          <w:szCs w:val="20"/>
          <w:lang w:eastAsia="en-GB"/>
          <w14:ligatures w14:val="none"/>
        </w:rPr>
        <w:t>:</w:t>
      </w:r>
      <w:r w:rsidRPr="006B308D">
        <w:rPr>
          <w:rFonts w:ascii="Arial" w:eastAsia="Times New Roman" w:hAnsi="Arial" w:cs="Arial"/>
          <w:b/>
          <w:bCs/>
          <w:color w:val="0F1115"/>
          <w:kern w:val="0"/>
          <w:sz w:val="20"/>
          <w:szCs w:val="20"/>
          <w:lang w:eastAsia="en-GB"/>
          <w14:ligatures w14:val="none"/>
        </w:rPr>
        <w:t xml:space="preserve"> Total cholesterol levels across the three study groups</w:t>
      </w:r>
    </w:p>
    <w:p w14:paraId="405E1EF9" w14:textId="77777777" w:rsidR="00745C84" w:rsidRDefault="00745C84"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7343E4C" w14:textId="77777777" w:rsidR="00745C84" w:rsidRDefault="00745C84"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8D8D808" w14:textId="66B5B9E2" w:rsidR="00745C84" w:rsidRDefault="00610D82" w:rsidP="003535C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31125961" wp14:editId="4B802398">
            <wp:extent cx="2006017" cy="1283845"/>
            <wp:effectExtent l="0" t="0" r="0" b="0"/>
            <wp:docPr id="6870028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20859" cy="1293344"/>
                    </a:xfrm>
                    <a:prstGeom prst="rect">
                      <a:avLst/>
                    </a:prstGeom>
                    <a:noFill/>
                  </pic:spPr>
                </pic:pic>
              </a:graphicData>
            </a:graphic>
          </wp:inline>
        </w:drawing>
      </w:r>
    </w:p>
    <w:p w14:paraId="534D7D1C" w14:textId="33A2893E" w:rsidR="00E84B99" w:rsidRPr="00E84B99" w:rsidRDefault="00E84B99" w:rsidP="00E84B99">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E84B99">
        <w:rPr>
          <w:rFonts w:ascii="Arial" w:eastAsia="Times New Roman" w:hAnsi="Arial" w:cs="Arial"/>
          <w:b/>
          <w:bCs/>
          <w:color w:val="0F1115"/>
          <w:kern w:val="0"/>
          <w:sz w:val="20"/>
          <w:szCs w:val="20"/>
          <w:lang w:eastAsia="en-GB"/>
          <w14:ligatures w14:val="none"/>
        </w:rPr>
        <w:t>Figure 4: Serum triglyceride levels across the three study groups</w:t>
      </w:r>
    </w:p>
    <w:p w14:paraId="7EFD2C46" w14:textId="77777777" w:rsidR="00610D82" w:rsidRDefault="00610D82"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03D1C15" w14:textId="3C3FF1F1" w:rsidR="00610D82" w:rsidRDefault="00B43875" w:rsidP="003535C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67468BE7" wp14:editId="1239B923">
            <wp:extent cx="1700530" cy="1274754"/>
            <wp:effectExtent l="0" t="0" r="0" b="1905"/>
            <wp:docPr id="17656561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0612" cy="1289808"/>
                    </a:xfrm>
                    <a:prstGeom prst="rect">
                      <a:avLst/>
                    </a:prstGeom>
                    <a:noFill/>
                  </pic:spPr>
                </pic:pic>
              </a:graphicData>
            </a:graphic>
          </wp:inline>
        </w:drawing>
      </w:r>
    </w:p>
    <w:p w14:paraId="6D213F89" w14:textId="22268D72" w:rsidR="00B43875" w:rsidRPr="00660694" w:rsidRDefault="00660694" w:rsidP="00660694">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660694">
        <w:rPr>
          <w:rFonts w:ascii="Arial" w:eastAsia="Times New Roman" w:hAnsi="Arial" w:cs="Arial"/>
          <w:b/>
          <w:bCs/>
          <w:color w:val="0F1115"/>
          <w:kern w:val="0"/>
          <w:sz w:val="20"/>
          <w:szCs w:val="20"/>
          <w:lang w:eastAsia="en-GB"/>
          <w14:ligatures w14:val="none"/>
        </w:rPr>
        <w:t>Figure 5: HDL cholesterol levels across the three study groups</w:t>
      </w:r>
    </w:p>
    <w:p w14:paraId="7B96CE15" w14:textId="77777777" w:rsidR="00E84B99" w:rsidRDefault="00E84B99"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7E2F400" w14:textId="0AA2E194" w:rsidR="00B43875" w:rsidRDefault="008B3BC7" w:rsidP="003535C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7F1FFB1D" wp14:editId="774AF8DA">
            <wp:extent cx="2145665" cy="1326952"/>
            <wp:effectExtent l="0" t="0" r="6985" b="6985"/>
            <wp:docPr id="10694820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3839" cy="1338192"/>
                    </a:xfrm>
                    <a:prstGeom prst="rect">
                      <a:avLst/>
                    </a:prstGeom>
                    <a:noFill/>
                  </pic:spPr>
                </pic:pic>
              </a:graphicData>
            </a:graphic>
          </wp:inline>
        </w:drawing>
      </w:r>
    </w:p>
    <w:p w14:paraId="34066D82" w14:textId="475E9235" w:rsidR="00835A7E" w:rsidRPr="00835A7E" w:rsidRDefault="00835A7E" w:rsidP="00835A7E">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835A7E">
        <w:rPr>
          <w:rFonts w:ascii="Arial" w:eastAsia="Times New Roman" w:hAnsi="Arial" w:cs="Arial"/>
          <w:b/>
          <w:bCs/>
          <w:color w:val="0F1115"/>
          <w:kern w:val="0"/>
          <w:sz w:val="20"/>
          <w:szCs w:val="20"/>
          <w:lang w:eastAsia="en-GB"/>
          <w14:ligatures w14:val="none"/>
        </w:rPr>
        <w:t>Figure 6</w:t>
      </w:r>
      <w:r>
        <w:rPr>
          <w:rFonts w:ascii="Arial" w:eastAsia="Times New Roman" w:hAnsi="Arial" w:cs="Arial"/>
          <w:b/>
          <w:bCs/>
          <w:color w:val="0F1115"/>
          <w:kern w:val="0"/>
          <w:sz w:val="20"/>
          <w:szCs w:val="20"/>
          <w:lang w:eastAsia="en-GB"/>
          <w14:ligatures w14:val="none"/>
        </w:rPr>
        <w:t>:</w:t>
      </w:r>
      <w:r w:rsidRPr="00835A7E">
        <w:rPr>
          <w:rFonts w:ascii="Arial" w:eastAsia="Times New Roman" w:hAnsi="Arial" w:cs="Arial"/>
          <w:b/>
          <w:bCs/>
          <w:color w:val="0F1115"/>
          <w:kern w:val="0"/>
          <w:sz w:val="20"/>
          <w:szCs w:val="20"/>
          <w:lang w:eastAsia="en-GB"/>
          <w14:ligatures w14:val="none"/>
        </w:rPr>
        <w:t xml:space="preserve"> LDL cholesterol levels across the three study groups</w:t>
      </w:r>
    </w:p>
    <w:p w14:paraId="09716E34" w14:textId="77777777" w:rsidR="008B3BC7" w:rsidRDefault="008B3BC7"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774A116" w14:textId="5ECB7286" w:rsidR="008B3BC7" w:rsidRDefault="00D55E3C" w:rsidP="003535C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67732300" wp14:editId="1E27C8B1">
            <wp:extent cx="1959610" cy="1313661"/>
            <wp:effectExtent l="0" t="0" r="2540" b="1270"/>
            <wp:docPr id="16307611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3482" cy="1329664"/>
                    </a:xfrm>
                    <a:prstGeom prst="rect">
                      <a:avLst/>
                    </a:prstGeom>
                    <a:noFill/>
                  </pic:spPr>
                </pic:pic>
              </a:graphicData>
            </a:graphic>
          </wp:inline>
        </w:drawing>
      </w:r>
    </w:p>
    <w:p w14:paraId="0AA7F851" w14:textId="500F6827" w:rsidR="00745C84" w:rsidRPr="007E4ABA" w:rsidRDefault="007E4ABA" w:rsidP="007E4ABA">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7E4ABA">
        <w:rPr>
          <w:rFonts w:ascii="Arial" w:eastAsia="Times New Roman" w:hAnsi="Arial" w:cs="Arial"/>
          <w:b/>
          <w:bCs/>
          <w:color w:val="0F1115"/>
          <w:kern w:val="0"/>
          <w:sz w:val="20"/>
          <w:szCs w:val="20"/>
          <w:lang w:eastAsia="en-GB"/>
          <w14:ligatures w14:val="none"/>
        </w:rPr>
        <w:t>Figure 7: VLDL cholesterol levels across the three study groups</w:t>
      </w:r>
    </w:p>
    <w:p w14:paraId="7BC48381" w14:textId="77777777" w:rsidR="00D55E3C" w:rsidRDefault="00D55E3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33FC4F9" w14:textId="7F211012" w:rsidR="00D55E3C" w:rsidRPr="00CF61FD" w:rsidRDefault="00D204F0" w:rsidP="003535C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2A778D62" wp14:editId="48025FF3">
            <wp:extent cx="1910768" cy="1200861"/>
            <wp:effectExtent l="0" t="0" r="0" b="0"/>
            <wp:docPr id="6488976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55847" cy="1229192"/>
                    </a:xfrm>
                    <a:prstGeom prst="rect">
                      <a:avLst/>
                    </a:prstGeom>
                    <a:noFill/>
                  </pic:spPr>
                </pic:pic>
              </a:graphicData>
            </a:graphic>
          </wp:inline>
        </w:drawing>
      </w:r>
    </w:p>
    <w:p w14:paraId="187DAED6" w14:textId="77777777" w:rsidR="00D204F0" w:rsidRDefault="00D204F0"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p>
    <w:p w14:paraId="696C5E59" w14:textId="401D29E3" w:rsidR="00443C91" w:rsidRDefault="00B30CB2"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443C91" w:rsidSect="00D204F0">
          <w:type w:val="continuous"/>
          <w:pgSz w:w="11906" w:h="16838"/>
          <w:pgMar w:top="1440" w:right="1440" w:bottom="1440" w:left="1440" w:header="720" w:footer="720" w:gutter="0"/>
          <w:cols w:num="2" w:space="720"/>
          <w:docGrid w:linePitch="360"/>
        </w:sectPr>
      </w:pPr>
      <w:r w:rsidRPr="00B30CB2">
        <w:rPr>
          <w:rFonts w:ascii="Arial" w:eastAsia="Times New Roman" w:hAnsi="Arial" w:cs="Arial"/>
          <w:b/>
          <w:bCs/>
          <w:color w:val="0F1115"/>
          <w:kern w:val="0"/>
          <w:sz w:val="20"/>
          <w:szCs w:val="20"/>
          <w:lang w:eastAsia="en-GB"/>
          <w14:ligatures w14:val="none"/>
        </w:rPr>
        <w:t>Figure 8: non-HDL cholesterol levels across the three study groups</w:t>
      </w:r>
    </w:p>
    <w:p w14:paraId="616B0CEF" w14:textId="77777777" w:rsidR="00AB01AC" w:rsidRPr="00AF4C2B"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F4C2B">
        <w:rPr>
          <w:rFonts w:ascii="Arial" w:eastAsia="Times New Roman" w:hAnsi="Arial" w:cs="Arial"/>
          <w:i/>
          <w:iCs/>
          <w:color w:val="0F1115"/>
          <w:kern w:val="0"/>
          <w:sz w:val="20"/>
          <w:szCs w:val="20"/>
          <w:lang w:eastAsia="en-GB"/>
          <w14:ligatures w14:val="none"/>
        </w:rPr>
        <w:t>Serum MMP</w:t>
      </w:r>
      <w:r w:rsidRPr="00AF4C2B">
        <w:rPr>
          <w:rFonts w:ascii="Arial" w:eastAsia="Times New Roman" w:hAnsi="Arial" w:cs="Arial"/>
          <w:i/>
          <w:iCs/>
          <w:color w:val="0F1115"/>
          <w:kern w:val="0"/>
          <w:sz w:val="20"/>
          <w:szCs w:val="20"/>
          <w:lang w:eastAsia="en-GB"/>
          <w14:ligatures w14:val="none"/>
        </w:rPr>
        <w:noBreakHyphen/>
        <w:t>2 Levels</w:t>
      </w:r>
    </w:p>
    <w:p w14:paraId="62DC16B2" w14:textId="69132760"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AF4C2B">
        <w:rPr>
          <w:rFonts w:ascii="Arial" w:eastAsia="Times New Roman" w:hAnsi="Arial" w:cs="Arial"/>
          <w:color w:val="0F1115"/>
          <w:kern w:val="0"/>
          <w:sz w:val="20"/>
          <w:szCs w:val="20"/>
          <w:lang w:eastAsia="en-GB"/>
          <w14:ligatures w14:val="none"/>
        </w:rPr>
        <w:t>Table 3</w:t>
      </w:r>
      <w:r w:rsidR="007B6F81">
        <w:rPr>
          <w:rFonts w:ascii="Arial" w:eastAsia="Times New Roman" w:hAnsi="Arial" w:cs="Arial"/>
          <w:color w:val="0F1115"/>
          <w:kern w:val="0"/>
          <w:sz w:val="20"/>
          <w:szCs w:val="20"/>
          <w:lang w:eastAsia="en-GB"/>
          <w14:ligatures w14:val="none"/>
        </w:rPr>
        <w:t xml:space="preserve"> and Figure 9</w:t>
      </w:r>
      <w:r w:rsidRPr="00AF4C2B">
        <w:rPr>
          <w:rFonts w:ascii="Arial" w:eastAsia="Times New Roman" w:hAnsi="Arial" w:cs="Arial"/>
          <w:color w:val="0F1115"/>
          <w:kern w:val="0"/>
          <w:sz w:val="20"/>
          <w:szCs w:val="20"/>
          <w:lang w:eastAsia="en-GB"/>
          <w14:ligatures w14:val="none"/>
        </w:rPr>
        <w:t> </w:t>
      </w:r>
      <w:r w:rsidR="000C459F">
        <w:rPr>
          <w:rFonts w:ascii="Arial" w:eastAsia="Times New Roman" w:hAnsi="Arial" w:cs="Arial"/>
          <w:color w:val="0F1115"/>
          <w:kern w:val="0"/>
          <w:sz w:val="20"/>
          <w:szCs w:val="20"/>
          <w:lang w:eastAsia="en-GB"/>
          <w14:ligatures w14:val="none"/>
        </w:rPr>
        <w:t>present</w:t>
      </w:r>
      <w:r w:rsidRPr="00AF4C2B">
        <w:rPr>
          <w:rFonts w:ascii="Arial" w:eastAsia="Times New Roman" w:hAnsi="Arial" w:cs="Arial"/>
          <w:color w:val="0F1115"/>
          <w:kern w:val="0"/>
          <w:sz w:val="20"/>
          <w:szCs w:val="20"/>
          <w:lang w:eastAsia="en-GB"/>
          <w14:ligatures w14:val="none"/>
        </w:rPr>
        <w:t xml:space="preserve"> serum MMP</w:t>
      </w:r>
      <w:r w:rsidRPr="00AF4C2B">
        <w:rPr>
          <w:rFonts w:ascii="Arial" w:eastAsia="Times New Roman" w:hAnsi="Arial" w:cs="Arial"/>
          <w:color w:val="0F1115"/>
          <w:kern w:val="0"/>
          <w:sz w:val="20"/>
          <w:szCs w:val="20"/>
          <w:lang w:eastAsia="en-GB"/>
          <w14:ligatures w14:val="none"/>
        </w:rPr>
        <w:noBreakHyphen/>
        <w:t>2 concentrations. From a control mean of 15.01 ± 4.70 ng/mL, MMP</w:t>
      </w:r>
      <w:r w:rsidRPr="00AF4C2B">
        <w:rPr>
          <w:rFonts w:ascii="Arial" w:eastAsia="Times New Roman" w:hAnsi="Arial" w:cs="Arial"/>
          <w:color w:val="0F1115"/>
          <w:kern w:val="0"/>
          <w:sz w:val="20"/>
          <w:szCs w:val="20"/>
          <w:lang w:eastAsia="en-GB"/>
          <w14:ligatures w14:val="none"/>
        </w:rPr>
        <w:noBreakHyphen/>
        <w:t xml:space="preserve">2 </w:t>
      </w:r>
      <w:r w:rsidRPr="00CF61FD">
        <w:rPr>
          <w:rFonts w:ascii="Arial" w:eastAsia="Times New Roman" w:hAnsi="Arial" w:cs="Arial"/>
          <w:color w:val="0F1115"/>
          <w:kern w:val="0"/>
          <w:sz w:val="20"/>
          <w:szCs w:val="20"/>
          <w:lang w:eastAsia="en-GB"/>
          <w14:ligatures w14:val="none"/>
        </w:rPr>
        <w:t>rose to 38.49 ± 4.40 ng/mL in stenosis and to 73.48 ± 7.65 ng/mL in CAE – a nearly five</w:t>
      </w:r>
      <w:r w:rsidRPr="00CF61FD">
        <w:rPr>
          <w:rFonts w:ascii="Arial" w:eastAsia="Times New Roman" w:hAnsi="Arial" w:cs="Arial"/>
          <w:color w:val="0F1115"/>
          <w:kern w:val="0"/>
          <w:sz w:val="20"/>
          <w:szCs w:val="20"/>
          <w:lang w:eastAsia="en-GB"/>
          <w14:ligatures w14:val="none"/>
        </w:rPr>
        <w:noBreakHyphen/>
        <w:t xml:space="preserve">fold increase over controls and </w:t>
      </w:r>
      <w:r w:rsidRPr="00CF61FD">
        <w:rPr>
          <w:rFonts w:ascii="Arial" w:eastAsia="Times New Roman" w:hAnsi="Arial" w:cs="Arial"/>
          <w:color w:val="0F1115"/>
          <w:kern w:val="0"/>
          <w:sz w:val="20"/>
          <w:szCs w:val="20"/>
          <w:lang w:eastAsia="en-GB"/>
          <w14:ligatures w14:val="none"/>
        </w:rPr>
        <w:t>roughly double the stenosis value. The overall model explained 94.7% of between</w:t>
      </w:r>
      <w:r w:rsidRPr="00CF61FD">
        <w:rPr>
          <w:rFonts w:ascii="Arial" w:eastAsia="Times New Roman" w:hAnsi="Arial" w:cs="Arial"/>
          <w:color w:val="0F1115"/>
          <w:kern w:val="0"/>
          <w:sz w:val="20"/>
          <w:szCs w:val="20"/>
          <w:lang w:eastAsia="en-GB"/>
          <w14:ligatures w14:val="none"/>
        </w:rPr>
        <w:noBreakHyphen/>
        <w:t>group variance (η² = 0.947). All pairwise comparisons were highly significant (p &lt; 0.001), with effect sizes (r) exceeding 0.85 for control</w:t>
      </w:r>
      <w:r w:rsidRPr="00CF61FD">
        <w:rPr>
          <w:rFonts w:ascii="Arial" w:eastAsia="Times New Roman" w:hAnsi="Arial" w:cs="Arial"/>
          <w:color w:val="0F1115"/>
          <w:kern w:val="0"/>
          <w:sz w:val="20"/>
          <w:szCs w:val="20"/>
          <w:lang w:eastAsia="en-GB"/>
          <w14:ligatures w14:val="none"/>
        </w:rPr>
        <w:noBreakHyphen/>
        <w:t>versus</w:t>
      </w:r>
      <w:r w:rsidRPr="00CF61FD">
        <w:rPr>
          <w:rFonts w:ascii="Arial" w:eastAsia="Times New Roman" w:hAnsi="Arial" w:cs="Arial"/>
          <w:color w:val="0F1115"/>
          <w:kern w:val="0"/>
          <w:sz w:val="20"/>
          <w:szCs w:val="20"/>
          <w:lang w:eastAsia="en-GB"/>
          <w14:ligatures w14:val="none"/>
        </w:rPr>
        <w:noBreakHyphen/>
        <w:t>patient comparisons.</w:t>
      </w:r>
    </w:p>
    <w:p w14:paraId="128F4592"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962F78">
          <w:type w:val="continuous"/>
          <w:pgSz w:w="11906" w:h="16838"/>
          <w:pgMar w:top="1440" w:right="1440" w:bottom="1440" w:left="1440" w:header="720" w:footer="720" w:gutter="0"/>
          <w:cols w:num="2" w:space="432"/>
          <w:docGrid w:linePitch="360"/>
        </w:sectPr>
      </w:pPr>
    </w:p>
    <w:p w14:paraId="1D94D57F" w14:textId="77777777" w:rsidR="00AF4C2B" w:rsidRPr="00CF61FD" w:rsidRDefault="00AF4C2B"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05F9DC1" w14:textId="1414AE23" w:rsidR="00AB01AC" w:rsidRPr="00CF61FD" w:rsidRDefault="00AB01AC" w:rsidP="00AF4C2B">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Table 3</w:t>
      </w:r>
      <w:r w:rsidR="00AF4C2B">
        <w:rPr>
          <w:rFonts w:ascii="Arial" w:eastAsia="Times New Roman" w:hAnsi="Arial" w:cs="Arial"/>
          <w:b/>
          <w:bCs/>
          <w:color w:val="0F1115"/>
          <w:kern w:val="0"/>
          <w:sz w:val="20"/>
          <w:szCs w:val="20"/>
          <w:lang w:eastAsia="en-GB"/>
          <w14:ligatures w14:val="none"/>
        </w:rPr>
        <w:t xml:space="preserve">: </w:t>
      </w:r>
      <w:r w:rsidRPr="00CF61FD">
        <w:rPr>
          <w:rFonts w:ascii="Arial" w:eastAsia="Times New Roman" w:hAnsi="Arial" w:cs="Arial"/>
          <w:b/>
          <w:bCs/>
          <w:color w:val="0F1115"/>
          <w:kern w:val="0"/>
          <w:sz w:val="20"/>
          <w:szCs w:val="20"/>
          <w:lang w:eastAsia="en-GB"/>
          <w14:ligatures w14:val="none"/>
        </w:rPr>
        <w:t xml:space="preserve"> Serum MMP</w:t>
      </w:r>
      <w:r w:rsidRPr="00CF61FD">
        <w:rPr>
          <w:rFonts w:ascii="Arial" w:eastAsia="Times New Roman" w:hAnsi="Arial" w:cs="Arial"/>
          <w:b/>
          <w:bCs/>
          <w:color w:val="0F1115"/>
          <w:kern w:val="0"/>
          <w:sz w:val="20"/>
          <w:szCs w:val="20"/>
          <w:lang w:eastAsia="en-GB"/>
          <w14:ligatures w14:val="none"/>
        </w:rPr>
        <w:noBreakHyphen/>
        <w:t>2 levels across the three study groups</w:t>
      </w:r>
    </w:p>
    <w:tbl>
      <w:tblPr>
        <w:tblW w:w="8900" w:type="dxa"/>
        <w:jc w:val="center"/>
        <w:tblLook w:val="04A0" w:firstRow="1" w:lastRow="0" w:firstColumn="1" w:lastColumn="0" w:noHBand="0" w:noVBand="1"/>
      </w:tblPr>
      <w:tblGrid>
        <w:gridCol w:w="1717"/>
        <w:gridCol w:w="1689"/>
        <w:gridCol w:w="1438"/>
        <w:gridCol w:w="1812"/>
        <w:gridCol w:w="1284"/>
        <w:gridCol w:w="960"/>
      </w:tblGrid>
      <w:tr w:rsidR="00841737" w:rsidRPr="00841737" w14:paraId="29638536" w14:textId="77777777" w:rsidTr="003535C2">
        <w:trPr>
          <w:trHeight w:val="50"/>
          <w:jc w:val="center"/>
        </w:trPr>
        <w:tc>
          <w:tcPr>
            <w:tcW w:w="1717" w:type="dxa"/>
            <w:tcBorders>
              <w:top w:val="single" w:sz="4" w:space="0" w:color="auto"/>
              <w:left w:val="nil"/>
              <w:bottom w:val="single" w:sz="4" w:space="0" w:color="auto"/>
              <w:right w:val="nil"/>
            </w:tcBorders>
            <w:noWrap/>
            <w:vAlign w:val="center"/>
            <w:hideMark/>
          </w:tcPr>
          <w:p w14:paraId="2A457B70" w14:textId="77777777" w:rsidR="00841737" w:rsidRPr="00841737" w:rsidRDefault="00841737" w:rsidP="003535C2">
            <w:pPr>
              <w:spacing w:after="0" w:line="240" w:lineRule="auto"/>
              <w:jc w:val="center"/>
              <w:rPr>
                <w:rFonts w:ascii="Arial" w:eastAsia="Times New Roman" w:hAnsi="Arial" w:cs="Arial"/>
                <w:b/>
                <w:bCs/>
                <w:color w:val="000000"/>
                <w:kern w:val="0"/>
                <w:sz w:val="20"/>
                <w:szCs w:val="20"/>
                <w:lang w:eastAsia="en-GB"/>
                <w14:ligatures w14:val="none"/>
              </w:rPr>
            </w:pPr>
            <w:r w:rsidRPr="00841737">
              <w:rPr>
                <w:rFonts w:ascii="Arial" w:eastAsia="Times New Roman" w:hAnsi="Arial" w:cs="Arial"/>
                <w:b/>
                <w:bCs/>
                <w:color w:val="000000"/>
                <w:kern w:val="0"/>
                <w:sz w:val="20"/>
                <w:szCs w:val="20"/>
                <w:lang w:eastAsia="en-GB"/>
                <w14:ligatures w14:val="none"/>
              </w:rPr>
              <w:t>Biomarker</w:t>
            </w:r>
          </w:p>
        </w:tc>
        <w:tc>
          <w:tcPr>
            <w:tcW w:w="1689" w:type="dxa"/>
            <w:tcBorders>
              <w:top w:val="single" w:sz="4" w:space="0" w:color="auto"/>
              <w:left w:val="nil"/>
              <w:bottom w:val="single" w:sz="4" w:space="0" w:color="auto"/>
              <w:right w:val="nil"/>
            </w:tcBorders>
            <w:noWrap/>
            <w:vAlign w:val="center"/>
            <w:hideMark/>
          </w:tcPr>
          <w:p w14:paraId="469D3BB9" w14:textId="77777777" w:rsidR="00841737" w:rsidRPr="00841737" w:rsidRDefault="00841737" w:rsidP="003535C2">
            <w:pPr>
              <w:spacing w:after="0" w:line="240" w:lineRule="auto"/>
              <w:jc w:val="center"/>
              <w:rPr>
                <w:rFonts w:ascii="Arial" w:eastAsia="Times New Roman" w:hAnsi="Arial" w:cs="Arial"/>
                <w:b/>
                <w:bCs/>
                <w:color w:val="000000"/>
                <w:kern w:val="0"/>
                <w:sz w:val="20"/>
                <w:szCs w:val="20"/>
                <w:lang w:eastAsia="en-GB"/>
                <w14:ligatures w14:val="none"/>
              </w:rPr>
            </w:pPr>
            <w:r w:rsidRPr="00841737">
              <w:rPr>
                <w:rFonts w:ascii="Arial" w:eastAsia="Times New Roman" w:hAnsi="Arial" w:cs="Arial"/>
                <w:b/>
                <w:bCs/>
                <w:color w:val="000000"/>
                <w:kern w:val="0"/>
                <w:sz w:val="20"/>
                <w:szCs w:val="20"/>
                <w:lang w:eastAsia="en-GB"/>
                <w14:ligatures w14:val="none"/>
              </w:rPr>
              <w:t>Control (n=40)</w:t>
            </w:r>
          </w:p>
        </w:tc>
        <w:tc>
          <w:tcPr>
            <w:tcW w:w="1438" w:type="dxa"/>
            <w:tcBorders>
              <w:top w:val="single" w:sz="4" w:space="0" w:color="auto"/>
              <w:left w:val="nil"/>
              <w:bottom w:val="single" w:sz="4" w:space="0" w:color="auto"/>
              <w:right w:val="nil"/>
            </w:tcBorders>
            <w:noWrap/>
            <w:vAlign w:val="center"/>
            <w:hideMark/>
          </w:tcPr>
          <w:p w14:paraId="1908FF5A" w14:textId="77777777" w:rsidR="00841737" w:rsidRPr="00841737" w:rsidRDefault="00841737" w:rsidP="003535C2">
            <w:pPr>
              <w:spacing w:after="0" w:line="240" w:lineRule="auto"/>
              <w:jc w:val="center"/>
              <w:rPr>
                <w:rFonts w:ascii="Arial" w:eastAsia="Times New Roman" w:hAnsi="Arial" w:cs="Arial"/>
                <w:b/>
                <w:bCs/>
                <w:color w:val="000000"/>
                <w:kern w:val="0"/>
                <w:sz w:val="20"/>
                <w:szCs w:val="20"/>
                <w:lang w:eastAsia="en-GB"/>
                <w14:ligatures w14:val="none"/>
              </w:rPr>
            </w:pPr>
            <w:r w:rsidRPr="00841737">
              <w:rPr>
                <w:rFonts w:ascii="Arial" w:eastAsia="Times New Roman" w:hAnsi="Arial" w:cs="Arial"/>
                <w:b/>
                <w:bCs/>
                <w:color w:val="000000"/>
                <w:kern w:val="0"/>
                <w:sz w:val="20"/>
                <w:szCs w:val="20"/>
                <w:lang w:eastAsia="en-GB"/>
                <w14:ligatures w14:val="none"/>
              </w:rPr>
              <w:t>CAE (n=40)</w:t>
            </w:r>
          </w:p>
        </w:tc>
        <w:tc>
          <w:tcPr>
            <w:tcW w:w="1812" w:type="dxa"/>
            <w:tcBorders>
              <w:top w:val="single" w:sz="4" w:space="0" w:color="auto"/>
              <w:left w:val="nil"/>
              <w:bottom w:val="single" w:sz="4" w:space="0" w:color="auto"/>
              <w:right w:val="nil"/>
            </w:tcBorders>
            <w:noWrap/>
            <w:vAlign w:val="center"/>
            <w:hideMark/>
          </w:tcPr>
          <w:p w14:paraId="0938DCB1" w14:textId="77777777" w:rsidR="00841737" w:rsidRPr="00841737" w:rsidRDefault="00841737" w:rsidP="003535C2">
            <w:pPr>
              <w:spacing w:after="0" w:line="240" w:lineRule="auto"/>
              <w:jc w:val="center"/>
              <w:rPr>
                <w:rFonts w:ascii="Arial" w:eastAsia="Times New Roman" w:hAnsi="Arial" w:cs="Arial"/>
                <w:b/>
                <w:bCs/>
                <w:color w:val="000000"/>
                <w:kern w:val="0"/>
                <w:sz w:val="20"/>
                <w:szCs w:val="20"/>
                <w:lang w:eastAsia="en-GB"/>
                <w14:ligatures w14:val="none"/>
              </w:rPr>
            </w:pPr>
            <w:r w:rsidRPr="00841737">
              <w:rPr>
                <w:rFonts w:ascii="Arial" w:eastAsia="Times New Roman" w:hAnsi="Arial" w:cs="Arial"/>
                <w:b/>
                <w:bCs/>
                <w:color w:val="000000"/>
                <w:kern w:val="0"/>
                <w:sz w:val="20"/>
                <w:szCs w:val="20"/>
                <w:lang w:eastAsia="en-GB"/>
                <w14:ligatures w14:val="none"/>
              </w:rPr>
              <w:t>Stenosis (n=40)</w:t>
            </w:r>
          </w:p>
        </w:tc>
        <w:tc>
          <w:tcPr>
            <w:tcW w:w="1284" w:type="dxa"/>
            <w:tcBorders>
              <w:top w:val="single" w:sz="4" w:space="0" w:color="auto"/>
              <w:left w:val="nil"/>
              <w:bottom w:val="single" w:sz="4" w:space="0" w:color="auto"/>
              <w:right w:val="nil"/>
            </w:tcBorders>
            <w:noWrap/>
            <w:vAlign w:val="center"/>
            <w:hideMark/>
          </w:tcPr>
          <w:p w14:paraId="6577203B" w14:textId="77777777" w:rsidR="00841737" w:rsidRPr="00841737" w:rsidRDefault="00841737" w:rsidP="003535C2">
            <w:pPr>
              <w:spacing w:after="0" w:line="240" w:lineRule="auto"/>
              <w:jc w:val="center"/>
              <w:rPr>
                <w:rFonts w:ascii="Arial" w:eastAsia="Times New Roman" w:hAnsi="Arial" w:cs="Arial"/>
                <w:b/>
                <w:bCs/>
                <w:color w:val="000000"/>
                <w:kern w:val="0"/>
                <w:sz w:val="20"/>
                <w:szCs w:val="20"/>
                <w:lang w:eastAsia="en-GB"/>
                <w14:ligatures w14:val="none"/>
              </w:rPr>
            </w:pPr>
            <w:r w:rsidRPr="00841737">
              <w:rPr>
                <w:rFonts w:ascii="Arial" w:eastAsia="Times New Roman" w:hAnsi="Arial" w:cs="Arial"/>
                <w:b/>
                <w:bCs/>
                <w:color w:val="000000"/>
                <w:kern w:val="0"/>
                <w:sz w:val="20"/>
                <w:szCs w:val="20"/>
                <w:lang w:eastAsia="en-GB"/>
                <w14:ligatures w14:val="none"/>
              </w:rPr>
              <w:t>H statistic</w:t>
            </w:r>
          </w:p>
        </w:tc>
        <w:tc>
          <w:tcPr>
            <w:tcW w:w="960" w:type="dxa"/>
            <w:tcBorders>
              <w:top w:val="single" w:sz="4" w:space="0" w:color="auto"/>
              <w:left w:val="nil"/>
              <w:bottom w:val="single" w:sz="4" w:space="0" w:color="auto"/>
              <w:right w:val="nil"/>
            </w:tcBorders>
            <w:noWrap/>
            <w:vAlign w:val="center"/>
            <w:hideMark/>
          </w:tcPr>
          <w:p w14:paraId="261C5E89" w14:textId="77777777" w:rsidR="00841737" w:rsidRPr="00841737" w:rsidRDefault="00841737" w:rsidP="003535C2">
            <w:pPr>
              <w:spacing w:after="0" w:line="240" w:lineRule="auto"/>
              <w:jc w:val="center"/>
              <w:rPr>
                <w:rFonts w:ascii="Arial" w:eastAsia="Times New Roman" w:hAnsi="Arial" w:cs="Arial"/>
                <w:b/>
                <w:bCs/>
                <w:color w:val="000000"/>
                <w:kern w:val="0"/>
                <w:sz w:val="20"/>
                <w:szCs w:val="20"/>
                <w:lang w:eastAsia="en-GB"/>
                <w14:ligatures w14:val="none"/>
              </w:rPr>
            </w:pPr>
            <w:r w:rsidRPr="00841737">
              <w:rPr>
                <w:rFonts w:ascii="Arial" w:eastAsia="Times New Roman" w:hAnsi="Arial" w:cs="Arial"/>
                <w:b/>
                <w:bCs/>
                <w:color w:val="000000"/>
                <w:kern w:val="0"/>
                <w:sz w:val="20"/>
                <w:szCs w:val="20"/>
                <w:lang w:eastAsia="en-GB"/>
                <w14:ligatures w14:val="none"/>
              </w:rPr>
              <w:t>p-value</w:t>
            </w:r>
          </w:p>
        </w:tc>
      </w:tr>
      <w:tr w:rsidR="00841737" w:rsidRPr="00841737" w14:paraId="5DFDD3AA" w14:textId="77777777" w:rsidTr="003535C2">
        <w:trPr>
          <w:trHeight w:val="50"/>
          <w:jc w:val="center"/>
        </w:trPr>
        <w:tc>
          <w:tcPr>
            <w:tcW w:w="1717" w:type="dxa"/>
            <w:tcBorders>
              <w:top w:val="nil"/>
              <w:left w:val="nil"/>
              <w:bottom w:val="single" w:sz="4" w:space="0" w:color="auto"/>
              <w:right w:val="nil"/>
            </w:tcBorders>
            <w:noWrap/>
            <w:vAlign w:val="center"/>
            <w:hideMark/>
          </w:tcPr>
          <w:p w14:paraId="69FA417B" w14:textId="77777777" w:rsidR="00841737" w:rsidRPr="00841737" w:rsidRDefault="00841737" w:rsidP="00841737">
            <w:pPr>
              <w:spacing w:after="0" w:line="240" w:lineRule="auto"/>
              <w:rPr>
                <w:rFonts w:ascii="Arial" w:eastAsia="Times New Roman" w:hAnsi="Arial" w:cs="Arial"/>
                <w:color w:val="000000"/>
                <w:kern w:val="0"/>
                <w:sz w:val="20"/>
                <w:szCs w:val="20"/>
                <w:lang w:eastAsia="en-GB"/>
                <w14:ligatures w14:val="none"/>
              </w:rPr>
            </w:pPr>
            <w:r w:rsidRPr="00841737">
              <w:rPr>
                <w:rFonts w:ascii="Arial" w:eastAsia="Times New Roman" w:hAnsi="Arial" w:cs="Arial"/>
                <w:color w:val="000000"/>
                <w:kern w:val="0"/>
                <w:sz w:val="20"/>
                <w:szCs w:val="20"/>
                <w:lang w:eastAsia="en-GB"/>
                <w14:ligatures w14:val="none"/>
              </w:rPr>
              <w:t>MMP</w:t>
            </w:r>
            <w:r w:rsidRPr="00841737">
              <w:rPr>
                <w:rFonts w:ascii="Arial" w:eastAsia="Times New Roman" w:hAnsi="Arial" w:cs="Arial"/>
                <w:color w:val="000000"/>
                <w:kern w:val="0"/>
                <w:sz w:val="20"/>
                <w:szCs w:val="20"/>
                <w:lang w:eastAsia="en-GB"/>
                <w14:ligatures w14:val="none"/>
              </w:rPr>
              <w:noBreakHyphen/>
              <w:t>2 (ng/mL)</w:t>
            </w:r>
          </w:p>
        </w:tc>
        <w:tc>
          <w:tcPr>
            <w:tcW w:w="1689" w:type="dxa"/>
            <w:tcBorders>
              <w:top w:val="nil"/>
              <w:left w:val="nil"/>
              <w:bottom w:val="single" w:sz="4" w:space="0" w:color="auto"/>
              <w:right w:val="nil"/>
            </w:tcBorders>
            <w:noWrap/>
            <w:vAlign w:val="center"/>
            <w:hideMark/>
          </w:tcPr>
          <w:p w14:paraId="40AEF5DB" w14:textId="77777777" w:rsidR="00841737" w:rsidRPr="00841737" w:rsidRDefault="00841737" w:rsidP="003535C2">
            <w:pPr>
              <w:spacing w:after="0" w:line="240" w:lineRule="auto"/>
              <w:jc w:val="center"/>
              <w:rPr>
                <w:rFonts w:ascii="Arial" w:eastAsia="Times New Roman" w:hAnsi="Arial" w:cs="Arial"/>
                <w:color w:val="000000"/>
                <w:kern w:val="0"/>
                <w:sz w:val="20"/>
                <w:szCs w:val="20"/>
                <w:lang w:eastAsia="en-GB"/>
                <w14:ligatures w14:val="none"/>
              </w:rPr>
            </w:pPr>
            <w:r w:rsidRPr="00841737">
              <w:rPr>
                <w:rFonts w:ascii="Arial" w:eastAsia="Times New Roman" w:hAnsi="Arial" w:cs="Arial"/>
                <w:color w:val="000000"/>
                <w:kern w:val="0"/>
                <w:sz w:val="20"/>
                <w:szCs w:val="20"/>
                <w:lang w:eastAsia="en-GB"/>
                <w14:ligatures w14:val="none"/>
              </w:rPr>
              <w:t>15.01 ± 4.70</w:t>
            </w:r>
          </w:p>
        </w:tc>
        <w:tc>
          <w:tcPr>
            <w:tcW w:w="1438" w:type="dxa"/>
            <w:tcBorders>
              <w:top w:val="nil"/>
              <w:left w:val="nil"/>
              <w:bottom w:val="single" w:sz="4" w:space="0" w:color="auto"/>
              <w:right w:val="nil"/>
            </w:tcBorders>
            <w:noWrap/>
            <w:vAlign w:val="center"/>
            <w:hideMark/>
          </w:tcPr>
          <w:p w14:paraId="131ABB29" w14:textId="77777777" w:rsidR="00841737" w:rsidRPr="00841737" w:rsidRDefault="00841737" w:rsidP="003535C2">
            <w:pPr>
              <w:spacing w:after="0" w:line="240" w:lineRule="auto"/>
              <w:jc w:val="center"/>
              <w:rPr>
                <w:rFonts w:ascii="Arial" w:eastAsia="Times New Roman" w:hAnsi="Arial" w:cs="Arial"/>
                <w:color w:val="000000"/>
                <w:kern w:val="0"/>
                <w:sz w:val="20"/>
                <w:szCs w:val="20"/>
                <w:lang w:eastAsia="en-GB"/>
                <w14:ligatures w14:val="none"/>
              </w:rPr>
            </w:pPr>
            <w:r w:rsidRPr="00841737">
              <w:rPr>
                <w:rFonts w:ascii="Arial" w:eastAsia="Times New Roman" w:hAnsi="Arial" w:cs="Arial"/>
                <w:color w:val="000000"/>
                <w:kern w:val="0"/>
                <w:sz w:val="20"/>
                <w:szCs w:val="20"/>
                <w:lang w:eastAsia="en-GB"/>
                <w14:ligatures w14:val="none"/>
              </w:rPr>
              <w:t>73.48 ± 7.65</w:t>
            </w:r>
          </w:p>
        </w:tc>
        <w:tc>
          <w:tcPr>
            <w:tcW w:w="1812" w:type="dxa"/>
            <w:tcBorders>
              <w:top w:val="nil"/>
              <w:left w:val="nil"/>
              <w:bottom w:val="single" w:sz="4" w:space="0" w:color="auto"/>
              <w:right w:val="nil"/>
            </w:tcBorders>
            <w:noWrap/>
            <w:vAlign w:val="center"/>
            <w:hideMark/>
          </w:tcPr>
          <w:p w14:paraId="038ADD41" w14:textId="77777777" w:rsidR="00841737" w:rsidRPr="00841737" w:rsidRDefault="00841737" w:rsidP="003535C2">
            <w:pPr>
              <w:spacing w:after="0" w:line="240" w:lineRule="auto"/>
              <w:jc w:val="center"/>
              <w:rPr>
                <w:rFonts w:ascii="Arial" w:eastAsia="Times New Roman" w:hAnsi="Arial" w:cs="Arial"/>
                <w:color w:val="000000"/>
                <w:kern w:val="0"/>
                <w:sz w:val="20"/>
                <w:szCs w:val="20"/>
                <w:lang w:eastAsia="en-GB"/>
                <w14:ligatures w14:val="none"/>
              </w:rPr>
            </w:pPr>
            <w:r w:rsidRPr="00841737">
              <w:rPr>
                <w:rFonts w:ascii="Arial" w:eastAsia="Times New Roman" w:hAnsi="Arial" w:cs="Arial"/>
                <w:color w:val="000000"/>
                <w:kern w:val="0"/>
                <w:sz w:val="20"/>
                <w:szCs w:val="20"/>
                <w:lang w:eastAsia="en-GB"/>
                <w14:ligatures w14:val="none"/>
              </w:rPr>
              <w:t>38.49 ± 4.40</w:t>
            </w:r>
          </w:p>
        </w:tc>
        <w:tc>
          <w:tcPr>
            <w:tcW w:w="1284" w:type="dxa"/>
            <w:tcBorders>
              <w:top w:val="nil"/>
              <w:left w:val="nil"/>
              <w:bottom w:val="single" w:sz="4" w:space="0" w:color="auto"/>
              <w:right w:val="nil"/>
            </w:tcBorders>
            <w:noWrap/>
            <w:vAlign w:val="center"/>
            <w:hideMark/>
          </w:tcPr>
          <w:p w14:paraId="0156B36D" w14:textId="77777777" w:rsidR="00841737" w:rsidRPr="00841737" w:rsidRDefault="00841737" w:rsidP="003535C2">
            <w:pPr>
              <w:spacing w:after="0" w:line="240" w:lineRule="auto"/>
              <w:jc w:val="center"/>
              <w:rPr>
                <w:rFonts w:ascii="Arial" w:eastAsia="Times New Roman" w:hAnsi="Arial" w:cs="Arial"/>
                <w:color w:val="000000"/>
                <w:kern w:val="0"/>
                <w:sz w:val="20"/>
                <w:szCs w:val="20"/>
                <w:lang w:eastAsia="en-GB"/>
                <w14:ligatures w14:val="none"/>
              </w:rPr>
            </w:pPr>
            <w:r w:rsidRPr="00841737">
              <w:rPr>
                <w:rFonts w:ascii="Arial" w:eastAsia="Times New Roman" w:hAnsi="Arial" w:cs="Arial"/>
                <w:color w:val="000000"/>
                <w:kern w:val="0"/>
                <w:sz w:val="20"/>
                <w:szCs w:val="20"/>
                <w:lang w:eastAsia="en-GB"/>
                <w14:ligatures w14:val="none"/>
              </w:rPr>
              <w:t>105.79</w:t>
            </w:r>
          </w:p>
        </w:tc>
        <w:tc>
          <w:tcPr>
            <w:tcW w:w="960" w:type="dxa"/>
            <w:tcBorders>
              <w:top w:val="nil"/>
              <w:left w:val="nil"/>
              <w:bottom w:val="single" w:sz="4" w:space="0" w:color="auto"/>
              <w:right w:val="nil"/>
            </w:tcBorders>
            <w:noWrap/>
            <w:vAlign w:val="center"/>
            <w:hideMark/>
          </w:tcPr>
          <w:p w14:paraId="762E0189" w14:textId="77777777" w:rsidR="00841737" w:rsidRPr="00841737" w:rsidRDefault="00841737" w:rsidP="003535C2">
            <w:pPr>
              <w:spacing w:after="0" w:line="240" w:lineRule="auto"/>
              <w:jc w:val="center"/>
              <w:rPr>
                <w:rFonts w:ascii="Arial" w:eastAsia="Times New Roman" w:hAnsi="Arial" w:cs="Arial"/>
                <w:color w:val="000000"/>
                <w:kern w:val="0"/>
                <w:sz w:val="20"/>
                <w:szCs w:val="20"/>
                <w:lang w:eastAsia="en-GB"/>
                <w14:ligatures w14:val="none"/>
              </w:rPr>
            </w:pPr>
            <w:r w:rsidRPr="00841737">
              <w:rPr>
                <w:rFonts w:ascii="Arial" w:eastAsia="Times New Roman" w:hAnsi="Arial" w:cs="Arial"/>
                <w:color w:val="000000"/>
                <w:kern w:val="0"/>
                <w:sz w:val="20"/>
                <w:szCs w:val="20"/>
                <w:lang w:eastAsia="en-GB"/>
                <w14:ligatures w14:val="none"/>
              </w:rPr>
              <w:t>&lt;0.001*</w:t>
            </w:r>
          </w:p>
        </w:tc>
      </w:tr>
    </w:tbl>
    <w:p w14:paraId="77116986" w14:textId="4CD2D74E" w:rsidR="00AB01AC" w:rsidRDefault="00AB01AC" w:rsidP="00EE3253">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*Data presented as mean ± SD. Kruskal–Wallis H test applied. All pairwise comparisons (Control vs CAE, Control vs Stenosis, CAE vs Stenosis) were significant after Bonferroni correction (p &lt; 0.001 for all pairs). Effect sizes (r) exceeded 0.85 for control</w:t>
      </w:r>
      <w:r w:rsidRPr="00CF61FD">
        <w:rPr>
          <w:rFonts w:ascii="Arial" w:eastAsia="Times New Roman" w:hAnsi="Arial" w:cs="Arial"/>
          <w:color w:val="0F1115"/>
          <w:kern w:val="0"/>
          <w:sz w:val="20"/>
          <w:szCs w:val="20"/>
          <w:lang w:eastAsia="en-GB"/>
          <w14:ligatures w14:val="none"/>
        </w:rPr>
        <w:noBreakHyphen/>
        <w:t>vs</w:t>
      </w:r>
      <w:r w:rsidRPr="00CF61FD">
        <w:rPr>
          <w:rFonts w:ascii="Arial" w:eastAsia="Times New Roman" w:hAnsi="Arial" w:cs="Arial"/>
          <w:color w:val="0F1115"/>
          <w:kern w:val="0"/>
          <w:sz w:val="20"/>
          <w:szCs w:val="20"/>
          <w:lang w:eastAsia="en-GB"/>
          <w14:ligatures w14:val="none"/>
        </w:rPr>
        <w:noBreakHyphen/>
        <w:t>patient comparisons. *p &lt; 0.05. MMP</w:t>
      </w:r>
      <w:r w:rsidRPr="00CF61FD">
        <w:rPr>
          <w:rFonts w:ascii="Arial" w:eastAsia="Times New Roman" w:hAnsi="Arial" w:cs="Arial"/>
          <w:color w:val="0F1115"/>
          <w:kern w:val="0"/>
          <w:sz w:val="20"/>
          <w:szCs w:val="20"/>
          <w:lang w:eastAsia="en-GB"/>
          <w14:ligatures w14:val="none"/>
        </w:rPr>
        <w:noBreakHyphen/>
        <w:t>2 = matrix metalloproteinase</w:t>
      </w:r>
      <w:r w:rsidRPr="00CF61FD">
        <w:rPr>
          <w:rFonts w:ascii="Arial" w:eastAsia="Times New Roman" w:hAnsi="Arial" w:cs="Arial"/>
          <w:color w:val="0F1115"/>
          <w:kern w:val="0"/>
          <w:sz w:val="20"/>
          <w:szCs w:val="20"/>
          <w:lang w:eastAsia="en-GB"/>
          <w14:ligatures w14:val="none"/>
        </w:rPr>
        <w:noBreakHyphen/>
        <w:t>2.*</w:t>
      </w:r>
    </w:p>
    <w:p w14:paraId="47529B74" w14:textId="77777777" w:rsidR="00EE3253" w:rsidRDefault="00EE3253" w:rsidP="00EE3253">
      <w:pPr>
        <w:shd w:val="clear" w:color="auto" w:fill="FFFFFF"/>
        <w:spacing w:after="0" w:line="240" w:lineRule="auto"/>
        <w:jc w:val="center"/>
        <w:rPr>
          <w:rFonts w:ascii="Arial" w:eastAsia="Times New Roman" w:hAnsi="Arial" w:cs="Arial"/>
          <w:color w:val="0F1115"/>
          <w:kern w:val="0"/>
          <w:sz w:val="20"/>
          <w:szCs w:val="20"/>
          <w:lang w:eastAsia="en-GB"/>
          <w14:ligatures w14:val="none"/>
        </w:rPr>
      </w:pPr>
    </w:p>
    <w:p w14:paraId="14994115" w14:textId="400AECBB" w:rsidR="00EE3253" w:rsidRPr="00CF61FD" w:rsidRDefault="00E84891" w:rsidP="00EE3253">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lastRenderedPageBreak/>
        <w:drawing>
          <wp:inline distT="0" distB="0" distL="0" distR="0" wp14:anchorId="5B8D5D90" wp14:editId="4B651324">
            <wp:extent cx="2311868" cy="1404266"/>
            <wp:effectExtent l="0" t="0" r="0" b="5715"/>
            <wp:docPr id="5061061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4523" cy="1436249"/>
                    </a:xfrm>
                    <a:prstGeom prst="rect">
                      <a:avLst/>
                    </a:prstGeom>
                    <a:noFill/>
                  </pic:spPr>
                </pic:pic>
              </a:graphicData>
            </a:graphic>
          </wp:inline>
        </w:drawing>
      </w:r>
    </w:p>
    <w:p w14:paraId="019475BA" w14:textId="77777777" w:rsidR="00EF3B92" w:rsidRDefault="00AB01AC" w:rsidP="00EF3B92">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Figure 9</w:t>
      </w:r>
      <w:r w:rsidR="00EF3B92">
        <w:rPr>
          <w:rFonts w:ascii="Arial" w:eastAsia="Times New Roman" w:hAnsi="Arial" w:cs="Arial"/>
          <w:b/>
          <w:bCs/>
          <w:color w:val="0F1115"/>
          <w:kern w:val="0"/>
          <w:sz w:val="20"/>
          <w:szCs w:val="20"/>
          <w:lang w:eastAsia="en-GB"/>
          <w14:ligatures w14:val="none"/>
        </w:rPr>
        <w:t xml:space="preserve">: </w:t>
      </w:r>
      <w:r w:rsidR="00EF3B92" w:rsidRPr="00EF3B92">
        <w:rPr>
          <w:rFonts w:ascii="Arial" w:eastAsia="Times New Roman" w:hAnsi="Arial" w:cs="Arial"/>
          <w:b/>
          <w:bCs/>
          <w:color w:val="0F1115"/>
          <w:kern w:val="0"/>
          <w:sz w:val="20"/>
          <w:szCs w:val="20"/>
          <w:lang w:eastAsia="en-GB"/>
          <w14:ligatures w14:val="none"/>
        </w:rPr>
        <w:t>Serum MMP-2 levels across the three study groups</w:t>
      </w:r>
    </w:p>
    <w:p w14:paraId="19AD433E" w14:textId="77777777" w:rsidR="00EE3253" w:rsidRPr="00CF61FD" w:rsidRDefault="00EE3253"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D6CAC43" w14:textId="77777777" w:rsidR="00962F78" w:rsidRDefault="00962F78"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962F78" w:rsidSect="00D204F0">
          <w:type w:val="continuous"/>
          <w:pgSz w:w="11906" w:h="16838"/>
          <w:pgMar w:top="1440" w:right="1440" w:bottom="1440" w:left="1440" w:header="720" w:footer="720" w:gutter="0"/>
          <w:cols w:space="720"/>
          <w:docGrid w:linePitch="360"/>
        </w:sectPr>
      </w:pPr>
    </w:p>
    <w:p w14:paraId="0E585979" w14:textId="0FB09265" w:rsidR="00AB01AC" w:rsidRPr="00EE3253"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EE3253">
        <w:rPr>
          <w:rFonts w:ascii="Arial" w:eastAsia="Times New Roman" w:hAnsi="Arial" w:cs="Arial"/>
          <w:i/>
          <w:iCs/>
          <w:color w:val="0F1115"/>
          <w:kern w:val="0"/>
          <w:sz w:val="20"/>
          <w:szCs w:val="20"/>
          <w:lang w:eastAsia="en-GB"/>
          <w14:ligatures w14:val="none"/>
        </w:rPr>
        <w:t>Haematological Inflammatory Indices</w:t>
      </w:r>
      <w:r w:rsidR="000C459F">
        <w:rPr>
          <w:rFonts w:ascii="Arial" w:eastAsia="Times New Roman" w:hAnsi="Arial" w:cs="Arial"/>
          <w:i/>
          <w:iCs/>
          <w:color w:val="0F1115"/>
          <w:kern w:val="0"/>
          <w:sz w:val="20"/>
          <w:szCs w:val="20"/>
          <w:lang w:eastAsia="en-GB"/>
          <w14:ligatures w14:val="none"/>
        </w:rPr>
        <w:t xml:space="preserve"> (Table 4 and Figures 10 to 12)</w:t>
      </w:r>
    </w:p>
    <w:p w14:paraId="6E6D1FA4"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C459F">
        <w:rPr>
          <w:rFonts w:ascii="Arial" w:eastAsia="Times New Roman" w:hAnsi="Arial" w:cs="Arial"/>
          <w:color w:val="0F1115"/>
          <w:kern w:val="0"/>
          <w:sz w:val="20"/>
          <w:szCs w:val="20"/>
          <w:lang w:eastAsia="en-GB"/>
          <w14:ligatures w14:val="none"/>
        </w:rPr>
        <w:t xml:space="preserve">Table 4 summarises the inflammatory indices. NLR was markedly elevated in CAE patients (6.38 ± </w:t>
      </w:r>
      <w:r w:rsidRPr="00CF61FD">
        <w:rPr>
          <w:rFonts w:ascii="Arial" w:eastAsia="Times New Roman" w:hAnsi="Arial" w:cs="Arial"/>
          <w:color w:val="0F1115"/>
          <w:kern w:val="0"/>
          <w:sz w:val="20"/>
          <w:szCs w:val="20"/>
          <w:lang w:eastAsia="en-GB"/>
          <w14:ligatures w14:val="none"/>
        </w:rPr>
        <w:t xml:space="preserve">1.39) compared to both stenosis (2.92 ± 0.81) and control (1.89 ± 0.13) groups. PLR followed a similar hierarchy (CAE: 186.37 ± 12.76; stenosis: 149.02 ± 8.89; control: 103.41 ± 17.34), with all three groups well separated from </w:t>
      </w:r>
      <w:r w:rsidRPr="00CF61FD">
        <w:rPr>
          <w:rFonts w:ascii="Arial" w:eastAsia="Times New Roman" w:hAnsi="Arial" w:cs="Arial"/>
          <w:color w:val="0F1115"/>
          <w:kern w:val="0"/>
          <w:sz w:val="20"/>
          <w:szCs w:val="20"/>
          <w:lang w:eastAsia="en-GB"/>
          <w14:ligatures w14:val="none"/>
        </w:rPr>
        <w:t>one another and effect sizes exceeding 0.80 for every pairwise comparison. RDW was elevated in both patient groups (CAE: 47.45 ± 2.03%; stenosis: 45.73 ± 1.22%; control: 41.88 ± 1.79%). Although CAE still had the highest values, the degree of separation between CAE and stenosis was less pronounced (r = 0.526) compared to the other inflammatory indices.</w:t>
      </w:r>
    </w:p>
    <w:p w14:paraId="6D193EFC"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962F78">
          <w:type w:val="continuous"/>
          <w:pgSz w:w="11906" w:h="16838"/>
          <w:pgMar w:top="1440" w:right="1440" w:bottom="1440" w:left="1440" w:header="720" w:footer="720" w:gutter="0"/>
          <w:cols w:num="2" w:space="432"/>
          <w:docGrid w:linePitch="360"/>
        </w:sectPr>
      </w:pPr>
    </w:p>
    <w:p w14:paraId="298EE89A" w14:textId="77777777" w:rsidR="00A90496" w:rsidRPr="00CF61FD" w:rsidRDefault="00A9049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B63C89E" w14:textId="6494A0E4" w:rsidR="00AB01AC" w:rsidRPr="00CF61FD" w:rsidRDefault="00AB01AC" w:rsidP="00A90496">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Table 4</w:t>
      </w:r>
      <w:r w:rsidR="00A90496">
        <w:rPr>
          <w:rFonts w:ascii="Arial" w:eastAsia="Times New Roman" w:hAnsi="Arial" w:cs="Arial"/>
          <w:b/>
          <w:bCs/>
          <w:color w:val="0F1115"/>
          <w:kern w:val="0"/>
          <w:sz w:val="20"/>
          <w:szCs w:val="20"/>
          <w:lang w:eastAsia="en-GB"/>
          <w14:ligatures w14:val="none"/>
        </w:rPr>
        <w:t xml:space="preserve">: </w:t>
      </w:r>
      <w:r w:rsidRPr="00CF61FD">
        <w:rPr>
          <w:rFonts w:ascii="Arial" w:eastAsia="Times New Roman" w:hAnsi="Arial" w:cs="Arial"/>
          <w:b/>
          <w:bCs/>
          <w:color w:val="0F1115"/>
          <w:kern w:val="0"/>
          <w:sz w:val="20"/>
          <w:szCs w:val="20"/>
          <w:lang w:eastAsia="en-GB"/>
          <w14:ligatures w14:val="none"/>
        </w:rPr>
        <w:t>Haematological inflammatory indices across the three study groups</w:t>
      </w:r>
    </w:p>
    <w:tbl>
      <w:tblPr>
        <w:tblW w:w="8601" w:type="dxa"/>
        <w:jc w:val="center"/>
        <w:tblLook w:val="04A0" w:firstRow="1" w:lastRow="0" w:firstColumn="1" w:lastColumn="0" w:noHBand="0" w:noVBand="1"/>
      </w:tblPr>
      <w:tblGrid>
        <w:gridCol w:w="1195"/>
        <w:gridCol w:w="1689"/>
        <w:gridCol w:w="1661"/>
        <w:gridCol w:w="1812"/>
        <w:gridCol w:w="1284"/>
        <w:gridCol w:w="960"/>
      </w:tblGrid>
      <w:tr w:rsidR="005F4766" w:rsidRPr="005F4766" w14:paraId="6C107574" w14:textId="77777777" w:rsidTr="003535C2">
        <w:trPr>
          <w:trHeight w:val="50"/>
          <w:jc w:val="center"/>
        </w:trPr>
        <w:tc>
          <w:tcPr>
            <w:tcW w:w="1195" w:type="dxa"/>
            <w:tcBorders>
              <w:top w:val="single" w:sz="4" w:space="0" w:color="auto"/>
              <w:left w:val="nil"/>
              <w:bottom w:val="single" w:sz="4" w:space="0" w:color="auto"/>
              <w:right w:val="nil"/>
            </w:tcBorders>
            <w:noWrap/>
            <w:vAlign w:val="center"/>
            <w:hideMark/>
          </w:tcPr>
          <w:p w14:paraId="3BC77AA8" w14:textId="77777777" w:rsidR="005F4766" w:rsidRPr="005F4766" w:rsidRDefault="005F4766" w:rsidP="003535C2">
            <w:pPr>
              <w:spacing w:after="0" w:line="240" w:lineRule="auto"/>
              <w:jc w:val="center"/>
              <w:rPr>
                <w:rFonts w:ascii="Arial" w:eastAsia="Times New Roman" w:hAnsi="Arial" w:cs="Arial"/>
                <w:b/>
                <w:bCs/>
                <w:color w:val="000000"/>
                <w:kern w:val="0"/>
                <w:sz w:val="20"/>
                <w:szCs w:val="20"/>
                <w:lang w:eastAsia="en-GB"/>
                <w14:ligatures w14:val="none"/>
              </w:rPr>
            </w:pPr>
            <w:r w:rsidRPr="005F4766">
              <w:rPr>
                <w:rFonts w:ascii="Arial" w:eastAsia="Times New Roman" w:hAnsi="Arial" w:cs="Arial"/>
                <w:b/>
                <w:bCs/>
                <w:color w:val="000000"/>
                <w:kern w:val="0"/>
                <w:sz w:val="20"/>
                <w:szCs w:val="20"/>
                <w:lang w:eastAsia="en-GB"/>
                <w14:ligatures w14:val="none"/>
              </w:rPr>
              <w:t>Parameter</w:t>
            </w:r>
          </w:p>
        </w:tc>
        <w:tc>
          <w:tcPr>
            <w:tcW w:w="1689" w:type="dxa"/>
            <w:tcBorders>
              <w:top w:val="single" w:sz="4" w:space="0" w:color="auto"/>
              <w:left w:val="nil"/>
              <w:bottom w:val="single" w:sz="4" w:space="0" w:color="auto"/>
              <w:right w:val="nil"/>
            </w:tcBorders>
            <w:noWrap/>
            <w:vAlign w:val="center"/>
            <w:hideMark/>
          </w:tcPr>
          <w:p w14:paraId="6EB95B7E" w14:textId="77777777" w:rsidR="005F4766" w:rsidRPr="005F4766" w:rsidRDefault="005F4766" w:rsidP="003535C2">
            <w:pPr>
              <w:spacing w:after="0" w:line="240" w:lineRule="auto"/>
              <w:jc w:val="center"/>
              <w:rPr>
                <w:rFonts w:ascii="Arial" w:eastAsia="Times New Roman" w:hAnsi="Arial" w:cs="Arial"/>
                <w:b/>
                <w:bCs/>
                <w:color w:val="000000"/>
                <w:kern w:val="0"/>
                <w:sz w:val="20"/>
                <w:szCs w:val="20"/>
                <w:lang w:eastAsia="en-GB"/>
                <w14:ligatures w14:val="none"/>
              </w:rPr>
            </w:pPr>
            <w:r w:rsidRPr="005F4766">
              <w:rPr>
                <w:rFonts w:ascii="Arial" w:eastAsia="Times New Roman" w:hAnsi="Arial" w:cs="Arial"/>
                <w:b/>
                <w:bCs/>
                <w:color w:val="000000"/>
                <w:kern w:val="0"/>
                <w:sz w:val="20"/>
                <w:szCs w:val="20"/>
                <w:lang w:eastAsia="en-GB"/>
                <w14:ligatures w14:val="none"/>
              </w:rPr>
              <w:t>Control (n=40)</w:t>
            </w:r>
          </w:p>
        </w:tc>
        <w:tc>
          <w:tcPr>
            <w:tcW w:w="1661" w:type="dxa"/>
            <w:tcBorders>
              <w:top w:val="single" w:sz="4" w:space="0" w:color="auto"/>
              <w:left w:val="nil"/>
              <w:bottom w:val="single" w:sz="4" w:space="0" w:color="auto"/>
              <w:right w:val="nil"/>
            </w:tcBorders>
            <w:noWrap/>
            <w:vAlign w:val="center"/>
            <w:hideMark/>
          </w:tcPr>
          <w:p w14:paraId="57F7D028" w14:textId="77777777" w:rsidR="005F4766" w:rsidRPr="005F4766" w:rsidRDefault="005F4766" w:rsidP="003535C2">
            <w:pPr>
              <w:spacing w:after="0" w:line="240" w:lineRule="auto"/>
              <w:jc w:val="center"/>
              <w:rPr>
                <w:rFonts w:ascii="Arial" w:eastAsia="Times New Roman" w:hAnsi="Arial" w:cs="Arial"/>
                <w:b/>
                <w:bCs/>
                <w:color w:val="000000"/>
                <w:kern w:val="0"/>
                <w:sz w:val="20"/>
                <w:szCs w:val="20"/>
                <w:lang w:eastAsia="en-GB"/>
                <w14:ligatures w14:val="none"/>
              </w:rPr>
            </w:pPr>
            <w:r w:rsidRPr="005F4766">
              <w:rPr>
                <w:rFonts w:ascii="Arial" w:eastAsia="Times New Roman" w:hAnsi="Arial" w:cs="Arial"/>
                <w:b/>
                <w:bCs/>
                <w:color w:val="000000"/>
                <w:kern w:val="0"/>
                <w:sz w:val="20"/>
                <w:szCs w:val="20"/>
                <w:lang w:eastAsia="en-GB"/>
                <w14:ligatures w14:val="none"/>
              </w:rPr>
              <w:t>CAE (n=40)</w:t>
            </w:r>
          </w:p>
        </w:tc>
        <w:tc>
          <w:tcPr>
            <w:tcW w:w="1812" w:type="dxa"/>
            <w:tcBorders>
              <w:top w:val="single" w:sz="4" w:space="0" w:color="auto"/>
              <w:left w:val="nil"/>
              <w:bottom w:val="single" w:sz="4" w:space="0" w:color="auto"/>
              <w:right w:val="nil"/>
            </w:tcBorders>
            <w:noWrap/>
            <w:vAlign w:val="center"/>
            <w:hideMark/>
          </w:tcPr>
          <w:p w14:paraId="58F97136" w14:textId="77777777" w:rsidR="005F4766" w:rsidRPr="005F4766" w:rsidRDefault="005F4766" w:rsidP="003535C2">
            <w:pPr>
              <w:spacing w:after="0" w:line="240" w:lineRule="auto"/>
              <w:jc w:val="center"/>
              <w:rPr>
                <w:rFonts w:ascii="Arial" w:eastAsia="Times New Roman" w:hAnsi="Arial" w:cs="Arial"/>
                <w:b/>
                <w:bCs/>
                <w:color w:val="000000"/>
                <w:kern w:val="0"/>
                <w:sz w:val="20"/>
                <w:szCs w:val="20"/>
                <w:lang w:eastAsia="en-GB"/>
                <w14:ligatures w14:val="none"/>
              </w:rPr>
            </w:pPr>
            <w:r w:rsidRPr="005F4766">
              <w:rPr>
                <w:rFonts w:ascii="Arial" w:eastAsia="Times New Roman" w:hAnsi="Arial" w:cs="Arial"/>
                <w:b/>
                <w:bCs/>
                <w:color w:val="000000"/>
                <w:kern w:val="0"/>
                <w:sz w:val="20"/>
                <w:szCs w:val="20"/>
                <w:lang w:eastAsia="en-GB"/>
                <w14:ligatures w14:val="none"/>
              </w:rPr>
              <w:t>Stenosis (n=40)</w:t>
            </w:r>
          </w:p>
        </w:tc>
        <w:tc>
          <w:tcPr>
            <w:tcW w:w="1284" w:type="dxa"/>
            <w:tcBorders>
              <w:top w:val="single" w:sz="4" w:space="0" w:color="auto"/>
              <w:left w:val="nil"/>
              <w:bottom w:val="single" w:sz="4" w:space="0" w:color="auto"/>
              <w:right w:val="nil"/>
            </w:tcBorders>
            <w:noWrap/>
            <w:vAlign w:val="center"/>
            <w:hideMark/>
          </w:tcPr>
          <w:p w14:paraId="747906EC" w14:textId="77777777" w:rsidR="005F4766" w:rsidRPr="005F4766" w:rsidRDefault="005F4766" w:rsidP="003535C2">
            <w:pPr>
              <w:spacing w:after="0" w:line="240" w:lineRule="auto"/>
              <w:jc w:val="center"/>
              <w:rPr>
                <w:rFonts w:ascii="Arial" w:eastAsia="Times New Roman" w:hAnsi="Arial" w:cs="Arial"/>
                <w:b/>
                <w:bCs/>
                <w:color w:val="000000"/>
                <w:kern w:val="0"/>
                <w:sz w:val="20"/>
                <w:szCs w:val="20"/>
                <w:lang w:eastAsia="en-GB"/>
                <w14:ligatures w14:val="none"/>
              </w:rPr>
            </w:pPr>
            <w:r w:rsidRPr="005F4766">
              <w:rPr>
                <w:rFonts w:ascii="Arial" w:eastAsia="Times New Roman" w:hAnsi="Arial" w:cs="Arial"/>
                <w:b/>
                <w:bCs/>
                <w:color w:val="000000"/>
                <w:kern w:val="0"/>
                <w:sz w:val="20"/>
                <w:szCs w:val="20"/>
                <w:lang w:eastAsia="en-GB"/>
                <w14:ligatures w14:val="none"/>
              </w:rPr>
              <w:t>H statistic</w:t>
            </w:r>
          </w:p>
        </w:tc>
        <w:tc>
          <w:tcPr>
            <w:tcW w:w="960" w:type="dxa"/>
            <w:tcBorders>
              <w:top w:val="single" w:sz="4" w:space="0" w:color="auto"/>
              <w:left w:val="nil"/>
              <w:bottom w:val="single" w:sz="4" w:space="0" w:color="auto"/>
              <w:right w:val="nil"/>
            </w:tcBorders>
            <w:noWrap/>
            <w:vAlign w:val="center"/>
            <w:hideMark/>
          </w:tcPr>
          <w:p w14:paraId="620B718F" w14:textId="77777777" w:rsidR="005F4766" w:rsidRPr="005F4766" w:rsidRDefault="005F4766" w:rsidP="003535C2">
            <w:pPr>
              <w:spacing w:after="0" w:line="240" w:lineRule="auto"/>
              <w:jc w:val="center"/>
              <w:rPr>
                <w:rFonts w:ascii="Arial" w:eastAsia="Times New Roman" w:hAnsi="Arial" w:cs="Arial"/>
                <w:b/>
                <w:bCs/>
                <w:color w:val="000000"/>
                <w:kern w:val="0"/>
                <w:sz w:val="20"/>
                <w:szCs w:val="20"/>
                <w:lang w:eastAsia="en-GB"/>
                <w14:ligatures w14:val="none"/>
              </w:rPr>
            </w:pPr>
            <w:r w:rsidRPr="005F4766">
              <w:rPr>
                <w:rFonts w:ascii="Arial" w:eastAsia="Times New Roman" w:hAnsi="Arial" w:cs="Arial"/>
                <w:b/>
                <w:bCs/>
                <w:color w:val="000000"/>
                <w:kern w:val="0"/>
                <w:sz w:val="20"/>
                <w:szCs w:val="20"/>
                <w:lang w:eastAsia="en-GB"/>
                <w14:ligatures w14:val="none"/>
              </w:rPr>
              <w:t>p-value</w:t>
            </w:r>
          </w:p>
        </w:tc>
      </w:tr>
      <w:tr w:rsidR="005F4766" w:rsidRPr="005F4766" w14:paraId="67F08BC3" w14:textId="77777777" w:rsidTr="003535C2">
        <w:trPr>
          <w:trHeight w:val="50"/>
          <w:jc w:val="center"/>
        </w:trPr>
        <w:tc>
          <w:tcPr>
            <w:tcW w:w="1195" w:type="dxa"/>
            <w:tcBorders>
              <w:top w:val="nil"/>
              <w:left w:val="nil"/>
              <w:bottom w:val="nil"/>
              <w:right w:val="nil"/>
            </w:tcBorders>
            <w:noWrap/>
            <w:vAlign w:val="center"/>
            <w:hideMark/>
          </w:tcPr>
          <w:p w14:paraId="4E76E2AB" w14:textId="77777777" w:rsidR="005F4766" w:rsidRPr="005F4766" w:rsidRDefault="005F4766" w:rsidP="005F4766">
            <w:pPr>
              <w:spacing w:after="0" w:line="240" w:lineRule="auto"/>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NLR</w:t>
            </w:r>
          </w:p>
        </w:tc>
        <w:tc>
          <w:tcPr>
            <w:tcW w:w="1689" w:type="dxa"/>
            <w:tcBorders>
              <w:top w:val="nil"/>
              <w:left w:val="nil"/>
              <w:bottom w:val="nil"/>
              <w:right w:val="nil"/>
            </w:tcBorders>
            <w:noWrap/>
            <w:vAlign w:val="center"/>
            <w:hideMark/>
          </w:tcPr>
          <w:p w14:paraId="41E299F4"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1.89 ± 0.13</w:t>
            </w:r>
          </w:p>
        </w:tc>
        <w:tc>
          <w:tcPr>
            <w:tcW w:w="1661" w:type="dxa"/>
            <w:tcBorders>
              <w:top w:val="nil"/>
              <w:left w:val="nil"/>
              <w:bottom w:val="nil"/>
              <w:right w:val="nil"/>
            </w:tcBorders>
            <w:noWrap/>
            <w:vAlign w:val="center"/>
            <w:hideMark/>
          </w:tcPr>
          <w:p w14:paraId="2D390BB2"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6.38 ± 1.39</w:t>
            </w:r>
          </w:p>
        </w:tc>
        <w:tc>
          <w:tcPr>
            <w:tcW w:w="1812" w:type="dxa"/>
            <w:tcBorders>
              <w:top w:val="nil"/>
              <w:left w:val="nil"/>
              <w:bottom w:val="nil"/>
              <w:right w:val="nil"/>
            </w:tcBorders>
            <w:noWrap/>
            <w:vAlign w:val="center"/>
            <w:hideMark/>
          </w:tcPr>
          <w:p w14:paraId="00826E48"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2.92 ± 0.81</w:t>
            </w:r>
          </w:p>
        </w:tc>
        <w:tc>
          <w:tcPr>
            <w:tcW w:w="1284" w:type="dxa"/>
            <w:tcBorders>
              <w:top w:val="nil"/>
              <w:left w:val="nil"/>
              <w:bottom w:val="nil"/>
              <w:right w:val="nil"/>
            </w:tcBorders>
            <w:noWrap/>
            <w:vAlign w:val="center"/>
            <w:hideMark/>
          </w:tcPr>
          <w:p w14:paraId="26CD5FA1"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104.2</w:t>
            </w:r>
          </w:p>
        </w:tc>
        <w:tc>
          <w:tcPr>
            <w:tcW w:w="960" w:type="dxa"/>
            <w:tcBorders>
              <w:top w:val="nil"/>
              <w:left w:val="nil"/>
              <w:bottom w:val="nil"/>
              <w:right w:val="nil"/>
            </w:tcBorders>
            <w:noWrap/>
            <w:vAlign w:val="center"/>
            <w:hideMark/>
          </w:tcPr>
          <w:p w14:paraId="2FDA620E"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&lt;0.001*</w:t>
            </w:r>
          </w:p>
        </w:tc>
      </w:tr>
      <w:tr w:rsidR="005F4766" w:rsidRPr="005F4766" w14:paraId="606908FE" w14:textId="77777777" w:rsidTr="003535C2">
        <w:trPr>
          <w:trHeight w:val="60"/>
          <w:jc w:val="center"/>
        </w:trPr>
        <w:tc>
          <w:tcPr>
            <w:tcW w:w="1195" w:type="dxa"/>
            <w:tcBorders>
              <w:top w:val="nil"/>
              <w:left w:val="nil"/>
              <w:bottom w:val="nil"/>
              <w:right w:val="nil"/>
            </w:tcBorders>
            <w:noWrap/>
            <w:vAlign w:val="center"/>
            <w:hideMark/>
          </w:tcPr>
          <w:p w14:paraId="122EA3C7" w14:textId="77777777" w:rsidR="005F4766" w:rsidRPr="005F4766" w:rsidRDefault="005F4766" w:rsidP="005F4766">
            <w:pPr>
              <w:spacing w:after="0" w:line="240" w:lineRule="auto"/>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PLR</w:t>
            </w:r>
          </w:p>
        </w:tc>
        <w:tc>
          <w:tcPr>
            <w:tcW w:w="1689" w:type="dxa"/>
            <w:tcBorders>
              <w:top w:val="nil"/>
              <w:left w:val="nil"/>
              <w:bottom w:val="nil"/>
              <w:right w:val="nil"/>
            </w:tcBorders>
            <w:noWrap/>
            <w:vAlign w:val="center"/>
            <w:hideMark/>
          </w:tcPr>
          <w:p w14:paraId="224DC2B1"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103.41 ± 17.34</w:t>
            </w:r>
          </w:p>
        </w:tc>
        <w:tc>
          <w:tcPr>
            <w:tcW w:w="1661" w:type="dxa"/>
            <w:tcBorders>
              <w:top w:val="nil"/>
              <w:left w:val="nil"/>
              <w:bottom w:val="nil"/>
              <w:right w:val="nil"/>
            </w:tcBorders>
            <w:noWrap/>
            <w:vAlign w:val="center"/>
            <w:hideMark/>
          </w:tcPr>
          <w:p w14:paraId="1C32B906"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186.37 ± 12.76</w:t>
            </w:r>
          </w:p>
        </w:tc>
        <w:tc>
          <w:tcPr>
            <w:tcW w:w="1812" w:type="dxa"/>
            <w:tcBorders>
              <w:top w:val="nil"/>
              <w:left w:val="nil"/>
              <w:bottom w:val="nil"/>
              <w:right w:val="nil"/>
            </w:tcBorders>
            <w:noWrap/>
            <w:vAlign w:val="center"/>
            <w:hideMark/>
          </w:tcPr>
          <w:p w14:paraId="60F0E1E9"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149.02 ± 8.89</w:t>
            </w:r>
          </w:p>
        </w:tc>
        <w:tc>
          <w:tcPr>
            <w:tcW w:w="1284" w:type="dxa"/>
            <w:tcBorders>
              <w:top w:val="nil"/>
              <w:left w:val="nil"/>
              <w:bottom w:val="nil"/>
              <w:right w:val="nil"/>
            </w:tcBorders>
            <w:noWrap/>
            <w:vAlign w:val="center"/>
            <w:hideMark/>
          </w:tcPr>
          <w:p w14:paraId="14179378"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100.93</w:t>
            </w:r>
          </w:p>
        </w:tc>
        <w:tc>
          <w:tcPr>
            <w:tcW w:w="960" w:type="dxa"/>
            <w:tcBorders>
              <w:top w:val="nil"/>
              <w:left w:val="nil"/>
              <w:bottom w:val="nil"/>
              <w:right w:val="nil"/>
            </w:tcBorders>
            <w:noWrap/>
            <w:vAlign w:val="center"/>
            <w:hideMark/>
          </w:tcPr>
          <w:p w14:paraId="678124AE"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&lt;0.001*</w:t>
            </w:r>
          </w:p>
        </w:tc>
      </w:tr>
      <w:tr w:rsidR="005F4766" w:rsidRPr="005F4766" w14:paraId="59DDE052" w14:textId="77777777" w:rsidTr="003535C2">
        <w:trPr>
          <w:trHeight w:val="60"/>
          <w:jc w:val="center"/>
        </w:trPr>
        <w:tc>
          <w:tcPr>
            <w:tcW w:w="1195" w:type="dxa"/>
            <w:tcBorders>
              <w:top w:val="nil"/>
              <w:left w:val="nil"/>
              <w:bottom w:val="single" w:sz="4" w:space="0" w:color="auto"/>
              <w:right w:val="nil"/>
            </w:tcBorders>
            <w:noWrap/>
            <w:vAlign w:val="center"/>
            <w:hideMark/>
          </w:tcPr>
          <w:p w14:paraId="388AD3B0" w14:textId="77777777" w:rsidR="005F4766" w:rsidRPr="005F4766" w:rsidRDefault="005F4766" w:rsidP="005F4766">
            <w:pPr>
              <w:spacing w:after="0" w:line="240" w:lineRule="auto"/>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RDW (%)</w:t>
            </w:r>
          </w:p>
        </w:tc>
        <w:tc>
          <w:tcPr>
            <w:tcW w:w="1689" w:type="dxa"/>
            <w:tcBorders>
              <w:top w:val="nil"/>
              <w:left w:val="nil"/>
              <w:bottom w:val="single" w:sz="4" w:space="0" w:color="auto"/>
              <w:right w:val="nil"/>
            </w:tcBorders>
            <w:noWrap/>
            <w:vAlign w:val="center"/>
            <w:hideMark/>
          </w:tcPr>
          <w:p w14:paraId="40E7D17E"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41.88 ± 1.79</w:t>
            </w:r>
          </w:p>
        </w:tc>
        <w:tc>
          <w:tcPr>
            <w:tcW w:w="1661" w:type="dxa"/>
            <w:tcBorders>
              <w:top w:val="nil"/>
              <w:left w:val="nil"/>
              <w:bottom w:val="single" w:sz="4" w:space="0" w:color="auto"/>
              <w:right w:val="nil"/>
            </w:tcBorders>
            <w:noWrap/>
            <w:vAlign w:val="center"/>
            <w:hideMark/>
          </w:tcPr>
          <w:p w14:paraId="185C9E5A"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47.45 ± 2.03</w:t>
            </w:r>
          </w:p>
        </w:tc>
        <w:tc>
          <w:tcPr>
            <w:tcW w:w="1812" w:type="dxa"/>
            <w:tcBorders>
              <w:top w:val="nil"/>
              <w:left w:val="nil"/>
              <w:bottom w:val="single" w:sz="4" w:space="0" w:color="auto"/>
              <w:right w:val="nil"/>
            </w:tcBorders>
            <w:noWrap/>
            <w:vAlign w:val="center"/>
            <w:hideMark/>
          </w:tcPr>
          <w:p w14:paraId="3433926D"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45.73 ± 1.22</w:t>
            </w:r>
          </w:p>
        </w:tc>
        <w:tc>
          <w:tcPr>
            <w:tcW w:w="1284" w:type="dxa"/>
            <w:tcBorders>
              <w:top w:val="nil"/>
              <w:left w:val="nil"/>
              <w:bottom w:val="single" w:sz="4" w:space="0" w:color="auto"/>
              <w:right w:val="nil"/>
            </w:tcBorders>
            <w:noWrap/>
            <w:vAlign w:val="center"/>
            <w:hideMark/>
          </w:tcPr>
          <w:p w14:paraId="39852E20"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79.07</w:t>
            </w:r>
          </w:p>
        </w:tc>
        <w:tc>
          <w:tcPr>
            <w:tcW w:w="960" w:type="dxa"/>
            <w:tcBorders>
              <w:top w:val="nil"/>
              <w:left w:val="nil"/>
              <w:bottom w:val="single" w:sz="4" w:space="0" w:color="auto"/>
              <w:right w:val="nil"/>
            </w:tcBorders>
            <w:noWrap/>
            <w:vAlign w:val="center"/>
            <w:hideMark/>
          </w:tcPr>
          <w:p w14:paraId="454742E3" w14:textId="77777777" w:rsidR="005F4766" w:rsidRPr="005F4766" w:rsidRDefault="005F4766" w:rsidP="003535C2">
            <w:pPr>
              <w:spacing w:after="0" w:line="240" w:lineRule="auto"/>
              <w:jc w:val="center"/>
              <w:rPr>
                <w:rFonts w:ascii="Arial" w:eastAsia="Times New Roman" w:hAnsi="Arial" w:cs="Arial"/>
                <w:color w:val="000000"/>
                <w:kern w:val="0"/>
                <w:sz w:val="20"/>
                <w:szCs w:val="20"/>
                <w:lang w:eastAsia="en-GB"/>
                <w14:ligatures w14:val="none"/>
              </w:rPr>
            </w:pPr>
            <w:r w:rsidRPr="005F4766">
              <w:rPr>
                <w:rFonts w:ascii="Arial" w:eastAsia="Times New Roman" w:hAnsi="Arial" w:cs="Arial"/>
                <w:color w:val="000000"/>
                <w:kern w:val="0"/>
                <w:sz w:val="20"/>
                <w:szCs w:val="20"/>
                <w:lang w:eastAsia="en-GB"/>
                <w14:ligatures w14:val="none"/>
              </w:rPr>
              <w:t>&lt;0.001*</w:t>
            </w:r>
          </w:p>
        </w:tc>
      </w:tr>
    </w:tbl>
    <w:p w14:paraId="4B6FA5E5" w14:textId="0786050B" w:rsidR="00AB01AC" w:rsidRDefault="00AB01AC" w:rsidP="005F4766">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*Data presented as mean ± SD. Kruskal–Wallis H test applied. All pairwise comparisons were significant (p &lt; 0.001) except where noted. *p &lt; 0.05. NLR = neutrophil</w:t>
      </w:r>
      <w:r w:rsidRPr="00CF61FD">
        <w:rPr>
          <w:rFonts w:ascii="Arial" w:eastAsia="Times New Roman" w:hAnsi="Arial" w:cs="Arial"/>
          <w:color w:val="0F1115"/>
          <w:kern w:val="0"/>
          <w:sz w:val="20"/>
          <w:szCs w:val="20"/>
          <w:lang w:eastAsia="en-GB"/>
          <w14:ligatures w14:val="none"/>
        </w:rPr>
        <w:noBreakHyphen/>
        <w:t>to</w:t>
      </w:r>
      <w:r w:rsidRPr="00CF61FD">
        <w:rPr>
          <w:rFonts w:ascii="Arial" w:eastAsia="Times New Roman" w:hAnsi="Arial" w:cs="Arial"/>
          <w:color w:val="0F1115"/>
          <w:kern w:val="0"/>
          <w:sz w:val="20"/>
          <w:szCs w:val="20"/>
          <w:lang w:eastAsia="en-GB"/>
          <w14:ligatures w14:val="none"/>
        </w:rPr>
        <w:noBreakHyphen/>
        <w:t>lymphocyte ratio; PLR = platelet</w:t>
      </w:r>
      <w:r w:rsidRPr="00CF61FD">
        <w:rPr>
          <w:rFonts w:ascii="Arial" w:eastAsia="Times New Roman" w:hAnsi="Arial" w:cs="Arial"/>
          <w:color w:val="0F1115"/>
          <w:kern w:val="0"/>
          <w:sz w:val="20"/>
          <w:szCs w:val="20"/>
          <w:lang w:eastAsia="en-GB"/>
          <w14:ligatures w14:val="none"/>
        </w:rPr>
        <w:noBreakHyphen/>
        <w:t>to</w:t>
      </w:r>
      <w:r w:rsidRPr="00CF61FD">
        <w:rPr>
          <w:rFonts w:ascii="Arial" w:eastAsia="Times New Roman" w:hAnsi="Arial" w:cs="Arial"/>
          <w:color w:val="0F1115"/>
          <w:kern w:val="0"/>
          <w:sz w:val="20"/>
          <w:szCs w:val="20"/>
          <w:lang w:eastAsia="en-GB"/>
          <w14:ligatures w14:val="none"/>
        </w:rPr>
        <w:noBreakHyphen/>
        <w:t>lymphocyte ratio; RDW = red cell distribution width.*</w:t>
      </w:r>
    </w:p>
    <w:p w14:paraId="40CF1C9A" w14:textId="77777777" w:rsidR="00053A16" w:rsidRDefault="00053A1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028753F" w14:textId="0A366590" w:rsidR="00423786" w:rsidRPr="00CF61FD" w:rsidRDefault="00F9417B" w:rsidP="00F9417B">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467701A1" wp14:editId="49A7DE27">
            <wp:extent cx="1781810" cy="1115349"/>
            <wp:effectExtent l="0" t="0" r="8890" b="8890"/>
            <wp:docPr id="12949915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8200" cy="1125609"/>
                    </a:xfrm>
                    <a:prstGeom prst="rect">
                      <a:avLst/>
                    </a:prstGeom>
                    <a:noFill/>
                  </pic:spPr>
                </pic:pic>
              </a:graphicData>
            </a:graphic>
          </wp:inline>
        </w:drawing>
      </w:r>
    </w:p>
    <w:p w14:paraId="5C715353" w14:textId="77777777" w:rsidR="000C5A1F" w:rsidRDefault="00AB01AC" w:rsidP="000C5A1F">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Figure 10</w:t>
      </w:r>
      <w:r w:rsidR="000C5A1F">
        <w:rPr>
          <w:rFonts w:ascii="Arial" w:eastAsia="Times New Roman" w:hAnsi="Arial" w:cs="Arial"/>
          <w:b/>
          <w:bCs/>
          <w:color w:val="0F1115"/>
          <w:kern w:val="0"/>
          <w:sz w:val="20"/>
          <w:szCs w:val="20"/>
          <w:lang w:eastAsia="en-GB"/>
          <w14:ligatures w14:val="none"/>
        </w:rPr>
        <w:t xml:space="preserve">: </w:t>
      </w:r>
      <w:r w:rsidR="000C5A1F" w:rsidRPr="000C5A1F">
        <w:rPr>
          <w:rFonts w:ascii="Arial" w:eastAsia="Times New Roman" w:hAnsi="Arial" w:cs="Arial"/>
          <w:b/>
          <w:bCs/>
          <w:color w:val="0F1115"/>
          <w:kern w:val="0"/>
          <w:sz w:val="20"/>
          <w:szCs w:val="20"/>
          <w:lang w:eastAsia="en-GB"/>
          <w14:ligatures w14:val="none"/>
        </w:rPr>
        <w:t>Neutrophil-to-lymphocyte ratio across the three study groups</w:t>
      </w:r>
    </w:p>
    <w:p w14:paraId="311569CA" w14:textId="77777777" w:rsidR="003535C2" w:rsidRDefault="003535C2"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C922FAC"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D204F0">
          <w:type w:val="continuous"/>
          <w:pgSz w:w="11906" w:h="16838"/>
          <w:pgMar w:top="1440" w:right="1440" w:bottom="1440" w:left="1440" w:header="720" w:footer="720" w:gutter="0"/>
          <w:cols w:space="720"/>
          <w:docGrid w:linePitch="360"/>
        </w:sectPr>
      </w:pPr>
    </w:p>
    <w:p w14:paraId="32F051BE" w14:textId="17119A07" w:rsidR="002E5536"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(NLR box plot) shows the most dramatic elevation in CAE, with minimal overlap between groups – the CAE group’s NLR was </w:t>
      </w:r>
      <w:r w:rsidRPr="00CF61FD">
        <w:rPr>
          <w:rFonts w:ascii="Arial" w:eastAsia="Times New Roman" w:hAnsi="Arial" w:cs="Arial"/>
          <w:color w:val="0F1115"/>
          <w:kern w:val="0"/>
          <w:sz w:val="20"/>
          <w:szCs w:val="20"/>
          <w:lang w:eastAsia="en-GB"/>
          <w14:ligatures w14:val="none"/>
        </w:rPr>
        <w:t>approximately 3.4</w:t>
      </w:r>
      <w:r w:rsidRPr="00CF61FD">
        <w:rPr>
          <w:rFonts w:ascii="Arial" w:eastAsia="Times New Roman" w:hAnsi="Arial" w:cs="Arial"/>
          <w:color w:val="0F1115"/>
          <w:kern w:val="0"/>
          <w:sz w:val="20"/>
          <w:szCs w:val="20"/>
          <w:lang w:eastAsia="en-GB"/>
          <w14:ligatures w14:val="none"/>
        </w:rPr>
        <w:noBreakHyphen/>
        <w:t>fold higher than controls and 2.2</w:t>
      </w:r>
      <w:r w:rsidRPr="00CF61FD">
        <w:rPr>
          <w:rFonts w:ascii="Arial" w:eastAsia="Times New Roman" w:hAnsi="Arial" w:cs="Arial"/>
          <w:color w:val="0F1115"/>
          <w:kern w:val="0"/>
          <w:sz w:val="20"/>
          <w:szCs w:val="20"/>
          <w:lang w:eastAsia="en-GB"/>
          <w14:ligatures w14:val="none"/>
        </w:rPr>
        <w:noBreakHyphen/>
        <w:t>fold higher than the stenosis group.</w:t>
      </w:r>
    </w:p>
    <w:p w14:paraId="0F3BC981"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962F78">
          <w:type w:val="continuous"/>
          <w:pgSz w:w="11906" w:h="16838"/>
          <w:pgMar w:top="1440" w:right="1440" w:bottom="1440" w:left="1440" w:header="720" w:footer="720" w:gutter="0"/>
          <w:cols w:num="2" w:space="432"/>
          <w:docGrid w:linePitch="360"/>
        </w:sectPr>
      </w:pPr>
    </w:p>
    <w:p w14:paraId="70D44141" w14:textId="77777777" w:rsidR="002E5536" w:rsidRDefault="002E553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8F07A67" w14:textId="36E8577C" w:rsidR="002E5536" w:rsidRDefault="002E5536" w:rsidP="002E5536">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1F3DED0C" wp14:editId="2F9D8945">
            <wp:extent cx="1831875" cy="1464211"/>
            <wp:effectExtent l="0" t="0" r="0" b="3175"/>
            <wp:docPr id="13477948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4472" cy="1490266"/>
                    </a:xfrm>
                    <a:prstGeom prst="rect">
                      <a:avLst/>
                    </a:prstGeom>
                    <a:noFill/>
                  </pic:spPr>
                </pic:pic>
              </a:graphicData>
            </a:graphic>
          </wp:inline>
        </w:drawing>
      </w:r>
    </w:p>
    <w:p w14:paraId="12E65D5C" w14:textId="77777777" w:rsidR="00EF18C0" w:rsidRDefault="00AB01AC" w:rsidP="00EF18C0">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Figure 11</w:t>
      </w:r>
      <w:r w:rsidR="009D7399">
        <w:rPr>
          <w:rFonts w:ascii="Arial" w:eastAsia="Times New Roman" w:hAnsi="Arial" w:cs="Arial"/>
          <w:b/>
          <w:bCs/>
          <w:color w:val="0F1115"/>
          <w:kern w:val="0"/>
          <w:sz w:val="20"/>
          <w:szCs w:val="20"/>
          <w:lang w:eastAsia="en-GB"/>
          <w14:ligatures w14:val="none"/>
        </w:rPr>
        <w:t xml:space="preserve">: </w:t>
      </w:r>
      <w:r w:rsidR="00EF18C0" w:rsidRPr="00EF18C0">
        <w:rPr>
          <w:rFonts w:ascii="Arial" w:eastAsia="Times New Roman" w:hAnsi="Arial" w:cs="Arial"/>
          <w:b/>
          <w:bCs/>
          <w:color w:val="0F1115"/>
          <w:kern w:val="0"/>
          <w:sz w:val="20"/>
          <w:szCs w:val="20"/>
          <w:lang w:eastAsia="en-GB"/>
          <w14:ligatures w14:val="none"/>
        </w:rPr>
        <w:t>Platelet-to-lymphocyte ratio across the three study groups</w:t>
      </w:r>
    </w:p>
    <w:p w14:paraId="70A682B9" w14:textId="2A98526A" w:rsidR="002E5536" w:rsidRDefault="002E553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219C011" w14:textId="77777777" w:rsidR="002E5536" w:rsidRDefault="002E553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3ACC304" w14:textId="6A0159F5" w:rsidR="002E5536" w:rsidRDefault="00044648" w:rsidP="00044648">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lastRenderedPageBreak/>
        <w:drawing>
          <wp:inline distT="0" distB="0" distL="0" distR="0" wp14:anchorId="3103E71F" wp14:editId="5D84181A">
            <wp:extent cx="1680835" cy="1375616"/>
            <wp:effectExtent l="0" t="0" r="0" b="0"/>
            <wp:docPr id="15316520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6752" cy="1388643"/>
                    </a:xfrm>
                    <a:prstGeom prst="rect">
                      <a:avLst/>
                    </a:prstGeom>
                    <a:noFill/>
                  </pic:spPr>
                </pic:pic>
              </a:graphicData>
            </a:graphic>
          </wp:inline>
        </w:drawing>
      </w:r>
    </w:p>
    <w:p w14:paraId="799E1BCE" w14:textId="12701A6B" w:rsidR="009D7399" w:rsidRDefault="00AB01AC" w:rsidP="009D7399">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Figure 12</w:t>
      </w:r>
      <w:r w:rsidR="009D7399">
        <w:rPr>
          <w:rFonts w:ascii="Arial" w:eastAsia="Times New Roman" w:hAnsi="Arial" w:cs="Arial"/>
          <w:b/>
          <w:bCs/>
          <w:color w:val="0F1115"/>
          <w:kern w:val="0"/>
          <w:sz w:val="20"/>
          <w:szCs w:val="20"/>
          <w:lang w:eastAsia="en-GB"/>
          <w14:ligatures w14:val="none"/>
        </w:rPr>
        <w:t>:</w:t>
      </w:r>
      <w:r w:rsidR="003535C2">
        <w:rPr>
          <w:rFonts w:ascii="Arial" w:eastAsia="Times New Roman" w:hAnsi="Arial" w:cs="Arial"/>
          <w:b/>
          <w:bCs/>
          <w:color w:val="0F1115"/>
          <w:kern w:val="0"/>
          <w:sz w:val="20"/>
          <w:szCs w:val="20"/>
          <w:lang w:eastAsia="en-GB"/>
          <w14:ligatures w14:val="none"/>
        </w:rPr>
        <w:t xml:space="preserve"> </w:t>
      </w:r>
      <w:r w:rsidR="009D7399" w:rsidRPr="009D7399">
        <w:rPr>
          <w:rFonts w:ascii="Arial" w:eastAsia="Times New Roman" w:hAnsi="Arial" w:cs="Arial"/>
          <w:b/>
          <w:bCs/>
          <w:color w:val="0F1115"/>
          <w:kern w:val="0"/>
          <w:sz w:val="20"/>
          <w:szCs w:val="20"/>
          <w:lang w:eastAsia="en-GB"/>
          <w14:ligatures w14:val="none"/>
        </w:rPr>
        <w:t>Red cell distribution width across the three study groups</w:t>
      </w:r>
    </w:p>
    <w:p w14:paraId="15354BDD" w14:textId="5A55AD43" w:rsidR="00423786" w:rsidRPr="00CF61FD" w:rsidRDefault="0042378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3AE229F" w14:textId="77777777" w:rsidR="00962F78" w:rsidRDefault="00962F78"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962F78" w:rsidSect="00D204F0">
          <w:type w:val="continuous"/>
          <w:pgSz w:w="11906" w:h="16838"/>
          <w:pgMar w:top="1440" w:right="1440" w:bottom="1440" w:left="1440" w:header="720" w:footer="720" w:gutter="0"/>
          <w:cols w:space="720"/>
          <w:docGrid w:linePitch="360"/>
        </w:sectPr>
      </w:pPr>
    </w:p>
    <w:p w14:paraId="409E72F6" w14:textId="77777777" w:rsidR="00AB01AC" w:rsidRPr="00423786"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23786">
        <w:rPr>
          <w:rFonts w:ascii="Arial" w:eastAsia="Times New Roman" w:hAnsi="Arial" w:cs="Arial"/>
          <w:i/>
          <w:iCs/>
          <w:color w:val="0F1115"/>
          <w:kern w:val="0"/>
          <w:sz w:val="20"/>
          <w:szCs w:val="20"/>
          <w:lang w:eastAsia="en-GB"/>
          <w14:ligatures w14:val="none"/>
        </w:rPr>
        <w:t>Receiver Operating Characteristic Analysis</w:t>
      </w:r>
    </w:p>
    <w:p w14:paraId="19AD301F"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23786">
        <w:rPr>
          <w:rFonts w:ascii="Arial" w:eastAsia="Times New Roman" w:hAnsi="Arial" w:cs="Arial"/>
          <w:color w:val="0F1115"/>
          <w:kern w:val="0"/>
          <w:sz w:val="20"/>
          <w:szCs w:val="20"/>
          <w:lang w:eastAsia="en-GB"/>
          <w14:ligatures w14:val="none"/>
        </w:rPr>
        <w:t>ROC curve analysis was performed for MMP</w:t>
      </w:r>
      <w:r w:rsidRPr="00423786">
        <w:rPr>
          <w:rFonts w:ascii="Arial" w:eastAsia="Times New Roman" w:hAnsi="Arial" w:cs="Arial"/>
          <w:color w:val="0F1115"/>
          <w:kern w:val="0"/>
          <w:sz w:val="20"/>
          <w:szCs w:val="20"/>
          <w:lang w:eastAsia="en-GB"/>
          <w14:ligatures w14:val="none"/>
        </w:rPr>
        <w:noBreakHyphen/>
        <w:t>2 across the three pairwise comparisons, with results detailed in Table 5. MMP</w:t>
      </w:r>
      <w:r w:rsidRPr="00423786">
        <w:rPr>
          <w:rFonts w:ascii="Arial" w:eastAsia="Times New Roman" w:hAnsi="Arial" w:cs="Arial"/>
          <w:color w:val="0F1115"/>
          <w:kern w:val="0"/>
          <w:sz w:val="20"/>
          <w:szCs w:val="20"/>
          <w:lang w:eastAsia="en-GB"/>
          <w14:ligatures w14:val="none"/>
        </w:rPr>
        <w:noBreakHyphen/>
        <w:t>2 achieved perfect discrimination (AUC = 1.000, 95% CI: 1.000–1.000) for CAE versus control, stenosis versus control, and CAE versus stenosis. The optimal cut</w:t>
      </w:r>
      <w:r w:rsidRPr="00423786">
        <w:rPr>
          <w:rFonts w:ascii="Arial" w:eastAsia="Times New Roman" w:hAnsi="Arial" w:cs="Arial"/>
          <w:color w:val="0F1115"/>
          <w:kern w:val="0"/>
          <w:sz w:val="20"/>
          <w:szCs w:val="20"/>
          <w:lang w:eastAsia="en-GB"/>
          <w14:ligatures w14:val="none"/>
        </w:rPr>
        <w:noBreakHyphen/>
        <w:t xml:space="preserve">off value of </w:t>
      </w:r>
      <w:r w:rsidRPr="00CF61FD">
        <w:rPr>
          <w:rFonts w:ascii="Arial" w:eastAsia="Times New Roman" w:hAnsi="Arial" w:cs="Arial"/>
          <w:color w:val="0F1115"/>
          <w:kern w:val="0"/>
          <w:sz w:val="20"/>
          <w:szCs w:val="20"/>
          <w:lang w:eastAsia="en-GB"/>
          <w14:ligatures w14:val="none"/>
        </w:rPr>
        <w:t xml:space="preserve">&gt;58.17 ng/mL distinguished CAE from both controls and </w:t>
      </w:r>
      <w:r w:rsidRPr="00CF61FD">
        <w:rPr>
          <w:rFonts w:ascii="Arial" w:eastAsia="Times New Roman" w:hAnsi="Arial" w:cs="Arial"/>
          <w:color w:val="0F1115"/>
          <w:kern w:val="0"/>
          <w:sz w:val="20"/>
          <w:szCs w:val="20"/>
          <w:lang w:eastAsia="en-GB"/>
          <w14:ligatures w14:val="none"/>
        </w:rPr>
        <w:t>stenosis with 100% sensitivity and 100% specificity. While these results are striking, we emphasise that the perfect AUC likely reflects the relatively small sample size and the absence of an independent validation cohort. In routine clinical practice, a biomarker would rarely achieve such perfect separation, and therefore these findings should be validated in larger, more diverse populations before clinical application.</w:t>
      </w:r>
    </w:p>
    <w:p w14:paraId="4A72EF8C" w14:textId="77777777" w:rsidR="00962F78" w:rsidRDefault="00962F78"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962F78" w:rsidSect="00962F78">
          <w:type w:val="continuous"/>
          <w:pgSz w:w="11906" w:h="16838"/>
          <w:pgMar w:top="1440" w:right="1440" w:bottom="1440" w:left="1440" w:header="720" w:footer="720" w:gutter="0"/>
          <w:cols w:num="2" w:space="432"/>
          <w:docGrid w:linePitch="360"/>
        </w:sectPr>
      </w:pPr>
    </w:p>
    <w:p w14:paraId="3EFCF8A1" w14:textId="77777777" w:rsidR="00423786" w:rsidRPr="00CF61FD" w:rsidRDefault="0042378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41BC631" w14:textId="12CAC3C2" w:rsidR="00AB01AC" w:rsidRPr="00CF61FD" w:rsidRDefault="00AB01AC" w:rsidP="006E5836">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Table 5</w:t>
      </w:r>
      <w:r w:rsidR="00423786">
        <w:rPr>
          <w:rFonts w:ascii="Arial" w:eastAsia="Times New Roman" w:hAnsi="Arial" w:cs="Arial"/>
          <w:b/>
          <w:bCs/>
          <w:color w:val="0F1115"/>
          <w:kern w:val="0"/>
          <w:sz w:val="20"/>
          <w:szCs w:val="20"/>
          <w:lang w:eastAsia="en-GB"/>
          <w14:ligatures w14:val="none"/>
        </w:rPr>
        <w:t xml:space="preserve">: </w:t>
      </w:r>
      <w:r w:rsidRPr="00CF61FD">
        <w:rPr>
          <w:rFonts w:ascii="Arial" w:eastAsia="Times New Roman" w:hAnsi="Arial" w:cs="Arial"/>
          <w:b/>
          <w:bCs/>
          <w:color w:val="0F1115"/>
          <w:kern w:val="0"/>
          <w:sz w:val="20"/>
          <w:szCs w:val="20"/>
          <w:lang w:eastAsia="en-GB"/>
          <w14:ligatures w14:val="none"/>
        </w:rPr>
        <w:t>ROC analysis of serum MMP</w:t>
      </w:r>
      <w:r w:rsidRPr="00CF61FD">
        <w:rPr>
          <w:rFonts w:ascii="Arial" w:eastAsia="Times New Roman" w:hAnsi="Arial" w:cs="Arial"/>
          <w:b/>
          <w:bCs/>
          <w:color w:val="0F1115"/>
          <w:kern w:val="0"/>
          <w:sz w:val="20"/>
          <w:szCs w:val="20"/>
          <w:lang w:eastAsia="en-GB"/>
          <w14:ligatures w14:val="none"/>
        </w:rPr>
        <w:noBreakHyphen/>
        <w:t>2 for pairwise group discrimination</w:t>
      </w:r>
    </w:p>
    <w:tbl>
      <w:tblPr>
        <w:tblW w:w="10730" w:type="dxa"/>
        <w:jc w:val="center"/>
        <w:tblLook w:val="04A0" w:firstRow="1" w:lastRow="0" w:firstColumn="1" w:lastColumn="0" w:noHBand="0" w:noVBand="1"/>
      </w:tblPr>
      <w:tblGrid>
        <w:gridCol w:w="2023"/>
        <w:gridCol w:w="761"/>
        <w:gridCol w:w="595"/>
        <w:gridCol w:w="1379"/>
        <w:gridCol w:w="960"/>
        <w:gridCol w:w="695"/>
        <w:gridCol w:w="695"/>
        <w:gridCol w:w="617"/>
        <w:gridCol w:w="628"/>
        <w:gridCol w:w="711"/>
        <w:gridCol w:w="706"/>
        <w:gridCol w:w="960"/>
      </w:tblGrid>
      <w:tr w:rsidR="007A680B" w:rsidRPr="007A680B" w14:paraId="452CB073" w14:textId="77777777" w:rsidTr="0055233B">
        <w:trPr>
          <w:trHeight w:val="143"/>
          <w:jc w:val="center"/>
        </w:trPr>
        <w:tc>
          <w:tcPr>
            <w:tcW w:w="2023" w:type="dxa"/>
            <w:tcBorders>
              <w:top w:val="single" w:sz="4" w:space="0" w:color="auto"/>
              <w:left w:val="nil"/>
              <w:bottom w:val="single" w:sz="4" w:space="0" w:color="auto"/>
              <w:right w:val="nil"/>
            </w:tcBorders>
            <w:noWrap/>
            <w:vAlign w:val="center"/>
            <w:hideMark/>
          </w:tcPr>
          <w:p w14:paraId="2FEA925C"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Comparison</w:t>
            </w:r>
          </w:p>
        </w:tc>
        <w:tc>
          <w:tcPr>
            <w:tcW w:w="761" w:type="dxa"/>
            <w:tcBorders>
              <w:top w:val="single" w:sz="4" w:space="0" w:color="auto"/>
              <w:left w:val="nil"/>
              <w:bottom w:val="single" w:sz="4" w:space="0" w:color="auto"/>
              <w:right w:val="nil"/>
            </w:tcBorders>
            <w:noWrap/>
            <w:vAlign w:val="center"/>
            <w:hideMark/>
          </w:tcPr>
          <w:p w14:paraId="54FD9369"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AUC</w:t>
            </w:r>
          </w:p>
        </w:tc>
        <w:tc>
          <w:tcPr>
            <w:tcW w:w="595" w:type="dxa"/>
            <w:tcBorders>
              <w:top w:val="single" w:sz="4" w:space="0" w:color="auto"/>
              <w:left w:val="nil"/>
              <w:bottom w:val="single" w:sz="4" w:space="0" w:color="auto"/>
              <w:right w:val="nil"/>
            </w:tcBorders>
            <w:noWrap/>
            <w:vAlign w:val="center"/>
            <w:hideMark/>
          </w:tcPr>
          <w:p w14:paraId="1F0D01A2"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SE</w:t>
            </w:r>
          </w:p>
        </w:tc>
        <w:tc>
          <w:tcPr>
            <w:tcW w:w="1379" w:type="dxa"/>
            <w:tcBorders>
              <w:top w:val="single" w:sz="4" w:space="0" w:color="auto"/>
              <w:left w:val="nil"/>
              <w:bottom w:val="single" w:sz="4" w:space="0" w:color="auto"/>
              <w:right w:val="nil"/>
            </w:tcBorders>
            <w:noWrap/>
            <w:vAlign w:val="center"/>
            <w:hideMark/>
          </w:tcPr>
          <w:p w14:paraId="51045933"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95% CI</w:t>
            </w:r>
          </w:p>
        </w:tc>
        <w:tc>
          <w:tcPr>
            <w:tcW w:w="960" w:type="dxa"/>
            <w:tcBorders>
              <w:top w:val="single" w:sz="4" w:space="0" w:color="auto"/>
              <w:left w:val="nil"/>
              <w:bottom w:val="single" w:sz="4" w:space="0" w:color="auto"/>
              <w:right w:val="nil"/>
            </w:tcBorders>
            <w:noWrap/>
            <w:vAlign w:val="center"/>
            <w:hideMark/>
          </w:tcPr>
          <w:p w14:paraId="2EDEDFF5"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Cut</w:t>
            </w:r>
            <w:r w:rsidRPr="007A680B">
              <w:rPr>
                <w:rFonts w:ascii="Arial" w:eastAsia="Times New Roman" w:hAnsi="Arial" w:cs="Arial"/>
                <w:b/>
                <w:bCs/>
                <w:color w:val="000000"/>
                <w:kern w:val="0"/>
                <w:sz w:val="20"/>
                <w:szCs w:val="20"/>
                <w:lang w:eastAsia="en-GB"/>
                <w14:ligatures w14:val="none"/>
              </w:rPr>
              <w:noBreakHyphen/>
              <w:t>off (ng/mL)</w:t>
            </w:r>
          </w:p>
        </w:tc>
        <w:tc>
          <w:tcPr>
            <w:tcW w:w="695" w:type="dxa"/>
            <w:tcBorders>
              <w:top w:val="single" w:sz="4" w:space="0" w:color="auto"/>
              <w:left w:val="nil"/>
              <w:bottom w:val="single" w:sz="4" w:space="0" w:color="auto"/>
              <w:right w:val="nil"/>
            </w:tcBorders>
            <w:noWrap/>
            <w:vAlign w:val="center"/>
            <w:hideMark/>
          </w:tcPr>
          <w:p w14:paraId="37427918"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Sens (%)</w:t>
            </w:r>
          </w:p>
        </w:tc>
        <w:tc>
          <w:tcPr>
            <w:tcW w:w="695" w:type="dxa"/>
            <w:tcBorders>
              <w:top w:val="single" w:sz="4" w:space="0" w:color="auto"/>
              <w:left w:val="nil"/>
              <w:bottom w:val="single" w:sz="4" w:space="0" w:color="auto"/>
              <w:right w:val="nil"/>
            </w:tcBorders>
            <w:noWrap/>
            <w:vAlign w:val="center"/>
            <w:hideMark/>
          </w:tcPr>
          <w:p w14:paraId="0C2C6550"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Spec (%)</w:t>
            </w:r>
          </w:p>
        </w:tc>
        <w:tc>
          <w:tcPr>
            <w:tcW w:w="617" w:type="dxa"/>
            <w:tcBorders>
              <w:top w:val="single" w:sz="4" w:space="0" w:color="auto"/>
              <w:left w:val="nil"/>
              <w:bottom w:val="single" w:sz="4" w:space="0" w:color="auto"/>
              <w:right w:val="nil"/>
            </w:tcBorders>
            <w:noWrap/>
            <w:vAlign w:val="center"/>
            <w:hideMark/>
          </w:tcPr>
          <w:p w14:paraId="1E376E81"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PPV (%)</w:t>
            </w:r>
          </w:p>
        </w:tc>
        <w:tc>
          <w:tcPr>
            <w:tcW w:w="628" w:type="dxa"/>
            <w:tcBorders>
              <w:top w:val="single" w:sz="4" w:space="0" w:color="auto"/>
              <w:left w:val="nil"/>
              <w:bottom w:val="single" w:sz="4" w:space="0" w:color="auto"/>
              <w:right w:val="nil"/>
            </w:tcBorders>
            <w:noWrap/>
            <w:vAlign w:val="center"/>
            <w:hideMark/>
          </w:tcPr>
          <w:p w14:paraId="4F97066E"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NPV (%)</w:t>
            </w:r>
          </w:p>
        </w:tc>
        <w:tc>
          <w:tcPr>
            <w:tcW w:w="711" w:type="dxa"/>
            <w:tcBorders>
              <w:top w:val="single" w:sz="4" w:space="0" w:color="auto"/>
              <w:left w:val="nil"/>
              <w:bottom w:val="single" w:sz="4" w:space="0" w:color="auto"/>
              <w:right w:val="nil"/>
            </w:tcBorders>
            <w:noWrap/>
            <w:vAlign w:val="center"/>
            <w:hideMark/>
          </w:tcPr>
          <w:p w14:paraId="6FDE934F"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+LR</w:t>
            </w:r>
          </w:p>
        </w:tc>
        <w:tc>
          <w:tcPr>
            <w:tcW w:w="706" w:type="dxa"/>
            <w:tcBorders>
              <w:top w:val="single" w:sz="4" w:space="0" w:color="auto"/>
              <w:left w:val="nil"/>
              <w:bottom w:val="single" w:sz="4" w:space="0" w:color="auto"/>
              <w:right w:val="nil"/>
            </w:tcBorders>
            <w:noWrap/>
            <w:vAlign w:val="center"/>
            <w:hideMark/>
          </w:tcPr>
          <w:p w14:paraId="48C62660"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–LR</w:t>
            </w:r>
          </w:p>
        </w:tc>
        <w:tc>
          <w:tcPr>
            <w:tcW w:w="960" w:type="dxa"/>
            <w:tcBorders>
              <w:top w:val="single" w:sz="4" w:space="0" w:color="auto"/>
              <w:left w:val="nil"/>
              <w:bottom w:val="single" w:sz="4" w:space="0" w:color="auto"/>
              <w:right w:val="nil"/>
            </w:tcBorders>
            <w:noWrap/>
            <w:vAlign w:val="center"/>
            <w:hideMark/>
          </w:tcPr>
          <w:p w14:paraId="74BB0145" w14:textId="77777777" w:rsidR="007A680B" w:rsidRPr="007A680B" w:rsidRDefault="007A680B" w:rsidP="00473018">
            <w:pPr>
              <w:spacing w:after="0" w:line="240" w:lineRule="auto"/>
              <w:jc w:val="center"/>
              <w:rPr>
                <w:rFonts w:ascii="Arial" w:eastAsia="Times New Roman" w:hAnsi="Arial" w:cs="Arial"/>
                <w:b/>
                <w:bCs/>
                <w:color w:val="000000"/>
                <w:kern w:val="0"/>
                <w:sz w:val="20"/>
                <w:szCs w:val="20"/>
                <w:lang w:eastAsia="en-GB"/>
                <w14:ligatures w14:val="none"/>
              </w:rPr>
            </w:pPr>
            <w:r w:rsidRPr="007A680B">
              <w:rPr>
                <w:rFonts w:ascii="Arial" w:eastAsia="Times New Roman" w:hAnsi="Arial" w:cs="Arial"/>
                <w:b/>
                <w:bCs/>
                <w:color w:val="000000"/>
                <w:kern w:val="0"/>
                <w:sz w:val="20"/>
                <w:szCs w:val="20"/>
                <w:lang w:eastAsia="en-GB"/>
                <w14:ligatures w14:val="none"/>
              </w:rPr>
              <w:t>Acc (%)</w:t>
            </w:r>
          </w:p>
        </w:tc>
      </w:tr>
      <w:tr w:rsidR="007A680B" w:rsidRPr="007A680B" w14:paraId="2B56B1C6" w14:textId="77777777" w:rsidTr="0055233B">
        <w:trPr>
          <w:trHeight w:val="50"/>
          <w:jc w:val="center"/>
        </w:trPr>
        <w:tc>
          <w:tcPr>
            <w:tcW w:w="2023" w:type="dxa"/>
            <w:tcBorders>
              <w:top w:val="nil"/>
              <w:left w:val="nil"/>
              <w:bottom w:val="nil"/>
              <w:right w:val="nil"/>
            </w:tcBorders>
            <w:noWrap/>
            <w:vAlign w:val="center"/>
            <w:hideMark/>
          </w:tcPr>
          <w:p w14:paraId="5E79F355" w14:textId="77777777" w:rsidR="007A680B" w:rsidRPr="007A680B" w:rsidRDefault="007A680B" w:rsidP="007A680B">
            <w:pPr>
              <w:spacing w:after="0" w:line="240" w:lineRule="auto"/>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CAE vs Control</w:t>
            </w:r>
          </w:p>
        </w:tc>
        <w:tc>
          <w:tcPr>
            <w:tcW w:w="761" w:type="dxa"/>
            <w:tcBorders>
              <w:top w:val="nil"/>
              <w:left w:val="nil"/>
              <w:bottom w:val="nil"/>
              <w:right w:val="nil"/>
            </w:tcBorders>
            <w:noWrap/>
            <w:vAlign w:val="center"/>
            <w:hideMark/>
          </w:tcPr>
          <w:p w14:paraId="0778EFA1"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w:t>
            </w:r>
          </w:p>
        </w:tc>
        <w:tc>
          <w:tcPr>
            <w:tcW w:w="595" w:type="dxa"/>
            <w:tcBorders>
              <w:top w:val="nil"/>
              <w:left w:val="nil"/>
              <w:bottom w:val="nil"/>
              <w:right w:val="nil"/>
            </w:tcBorders>
            <w:noWrap/>
            <w:vAlign w:val="center"/>
            <w:hideMark/>
          </w:tcPr>
          <w:p w14:paraId="458DAE9B"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0</w:t>
            </w:r>
          </w:p>
        </w:tc>
        <w:tc>
          <w:tcPr>
            <w:tcW w:w="1379" w:type="dxa"/>
            <w:tcBorders>
              <w:top w:val="nil"/>
              <w:left w:val="nil"/>
              <w:bottom w:val="nil"/>
              <w:right w:val="nil"/>
            </w:tcBorders>
            <w:noWrap/>
            <w:vAlign w:val="center"/>
            <w:hideMark/>
          </w:tcPr>
          <w:p w14:paraId="67705636"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1.000–1.000</w:t>
            </w:r>
          </w:p>
        </w:tc>
        <w:tc>
          <w:tcPr>
            <w:tcW w:w="960" w:type="dxa"/>
            <w:tcBorders>
              <w:top w:val="nil"/>
              <w:left w:val="nil"/>
              <w:bottom w:val="nil"/>
              <w:right w:val="nil"/>
            </w:tcBorders>
            <w:noWrap/>
            <w:vAlign w:val="center"/>
            <w:hideMark/>
          </w:tcPr>
          <w:p w14:paraId="5BA830A7"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&gt;58.17</w:t>
            </w:r>
          </w:p>
        </w:tc>
        <w:tc>
          <w:tcPr>
            <w:tcW w:w="695" w:type="dxa"/>
            <w:tcBorders>
              <w:top w:val="nil"/>
              <w:left w:val="nil"/>
              <w:bottom w:val="nil"/>
              <w:right w:val="nil"/>
            </w:tcBorders>
            <w:noWrap/>
            <w:vAlign w:val="center"/>
            <w:hideMark/>
          </w:tcPr>
          <w:p w14:paraId="5E5F6B1B"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95" w:type="dxa"/>
            <w:tcBorders>
              <w:top w:val="nil"/>
              <w:left w:val="nil"/>
              <w:bottom w:val="nil"/>
              <w:right w:val="nil"/>
            </w:tcBorders>
            <w:noWrap/>
            <w:vAlign w:val="center"/>
            <w:hideMark/>
          </w:tcPr>
          <w:p w14:paraId="0D9CCEFE"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17" w:type="dxa"/>
            <w:tcBorders>
              <w:top w:val="nil"/>
              <w:left w:val="nil"/>
              <w:bottom w:val="nil"/>
              <w:right w:val="nil"/>
            </w:tcBorders>
            <w:noWrap/>
            <w:vAlign w:val="center"/>
            <w:hideMark/>
          </w:tcPr>
          <w:p w14:paraId="53BD9421"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28" w:type="dxa"/>
            <w:tcBorders>
              <w:top w:val="nil"/>
              <w:left w:val="nil"/>
              <w:bottom w:val="nil"/>
              <w:right w:val="nil"/>
            </w:tcBorders>
            <w:noWrap/>
            <w:vAlign w:val="center"/>
            <w:hideMark/>
          </w:tcPr>
          <w:p w14:paraId="2AE8961F"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711" w:type="dxa"/>
            <w:tcBorders>
              <w:top w:val="nil"/>
              <w:left w:val="nil"/>
              <w:bottom w:val="nil"/>
              <w:right w:val="nil"/>
            </w:tcBorders>
            <w:noWrap/>
            <w:vAlign w:val="center"/>
            <w:hideMark/>
          </w:tcPr>
          <w:p w14:paraId="37D3FED3"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w:t>
            </w:r>
          </w:p>
        </w:tc>
        <w:tc>
          <w:tcPr>
            <w:tcW w:w="706" w:type="dxa"/>
            <w:tcBorders>
              <w:top w:val="nil"/>
              <w:left w:val="nil"/>
              <w:bottom w:val="nil"/>
              <w:right w:val="nil"/>
            </w:tcBorders>
            <w:noWrap/>
            <w:vAlign w:val="center"/>
            <w:hideMark/>
          </w:tcPr>
          <w:p w14:paraId="5AE3BD24"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0</w:t>
            </w:r>
          </w:p>
        </w:tc>
        <w:tc>
          <w:tcPr>
            <w:tcW w:w="960" w:type="dxa"/>
            <w:tcBorders>
              <w:top w:val="nil"/>
              <w:left w:val="nil"/>
              <w:bottom w:val="nil"/>
              <w:right w:val="nil"/>
            </w:tcBorders>
            <w:noWrap/>
            <w:vAlign w:val="center"/>
            <w:hideMark/>
          </w:tcPr>
          <w:p w14:paraId="6DDBFBC5"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r>
      <w:tr w:rsidR="007A680B" w:rsidRPr="007A680B" w14:paraId="4DE5EDFC" w14:textId="77777777" w:rsidTr="0055233B">
        <w:trPr>
          <w:trHeight w:val="72"/>
          <w:jc w:val="center"/>
        </w:trPr>
        <w:tc>
          <w:tcPr>
            <w:tcW w:w="2023" w:type="dxa"/>
            <w:tcBorders>
              <w:top w:val="nil"/>
              <w:left w:val="nil"/>
              <w:bottom w:val="nil"/>
              <w:right w:val="nil"/>
            </w:tcBorders>
            <w:noWrap/>
            <w:vAlign w:val="center"/>
            <w:hideMark/>
          </w:tcPr>
          <w:p w14:paraId="37EEC07D" w14:textId="77777777" w:rsidR="007A680B" w:rsidRPr="007A680B" w:rsidRDefault="007A680B" w:rsidP="007A680B">
            <w:pPr>
              <w:spacing w:after="0" w:line="240" w:lineRule="auto"/>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Stenosis vs Control</w:t>
            </w:r>
          </w:p>
        </w:tc>
        <w:tc>
          <w:tcPr>
            <w:tcW w:w="761" w:type="dxa"/>
            <w:tcBorders>
              <w:top w:val="nil"/>
              <w:left w:val="nil"/>
              <w:bottom w:val="nil"/>
              <w:right w:val="nil"/>
            </w:tcBorders>
            <w:noWrap/>
            <w:vAlign w:val="center"/>
            <w:hideMark/>
          </w:tcPr>
          <w:p w14:paraId="5D5B40CB"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w:t>
            </w:r>
          </w:p>
        </w:tc>
        <w:tc>
          <w:tcPr>
            <w:tcW w:w="595" w:type="dxa"/>
            <w:tcBorders>
              <w:top w:val="nil"/>
              <w:left w:val="nil"/>
              <w:bottom w:val="nil"/>
              <w:right w:val="nil"/>
            </w:tcBorders>
            <w:noWrap/>
            <w:vAlign w:val="center"/>
            <w:hideMark/>
          </w:tcPr>
          <w:p w14:paraId="10D18D3B"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0</w:t>
            </w:r>
          </w:p>
        </w:tc>
        <w:tc>
          <w:tcPr>
            <w:tcW w:w="1379" w:type="dxa"/>
            <w:tcBorders>
              <w:top w:val="nil"/>
              <w:left w:val="nil"/>
              <w:bottom w:val="nil"/>
              <w:right w:val="nil"/>
            </w:tcBorders>
            <w:noWrap/>
            <w:vAlign w:val="center"/>
            <w:hideMark/>
          </w:tcPr>
          <w:p w14:paraId="5223CFF9"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1.000–1.000</w:t>
            </w:r>
          </w:p>
        </w:tc>
        <w:tc>
          <w:tcPr>
            <w:tcW w:w="960" w:type="dxa"/>
            <w:tcBorders>
              <w:top w:val="nil"/>
              <w:left w:val="nil"/>
              <w:bottom w:val="nil"/>
              <w:right w:val="nil"/>
            </w:tcBorders>
            <w:noWrap/>
            <w:vAlign w:val="center"/>
            <w:hideMark/>
          </w:tcPr>
          <w:p w14:paraId="42EE5E7F"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&gt;32.17</w:t>
            </w:r>
          </w:p>
        </w:tc>
        <w:tc>
          <w:tcPr>
            <w:tcW w:w="695" w:type="dxa"/>
            <w:tcBorders>
              <w:top w:val="nil"/>
              <w:left w:val="nil"/>
              <w:bottom w:val="nil"/>
              <w:right w:val="nil"/>
            </w:tcBorders>
            <w:noWrap/>
            <w:vAlign w:val="center"/>
            <w:hideMark/>
          </w:tcPr>
          <w:p w14:paraId="4DABFC36"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95" w:type="dxa"/>
            <w:tcBorders>
              <w:top w:val="nil"/>
              <w:left w:val="nil"/>
              <w:bottom w:val="nil"/>
              <w:right w:val="nil"/>
            </w:tcBorders>
            <w:noWrap/>
            <w:vAlign w:val="center"/>
            <w:hideMark/>
          </w:tcPr>
          <w:p w14:paraId="59F787CC"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17" w:type="dxa"/>
            <w:tcBorders>
              <w:top w:val="nil"/>
              <w:left w:val="nil"/>
              <w:bottom w:val="nil"/>
              <w:right w:val="nil"/>
            </w:tcBorders>
            <w:noWrap/>
            <w:vAlign w:val="center"/>
            <w:hideMark/>
          </w:tcPr>
          <w:p w14:paraId="08217155"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28" w:type="dxa"/>
            <w:tcBorders>
              <w:top w:val="nil"/>
              <w:left w:val="nil"/>
              <w:bottom w:val="nil"/>
              <w:right w:val="nil"/>
            </w:tcBorders>
            <w:noWrap/>
            <w:vAlign w:val="center"/>
            <w:hideMark/>
          </w:tcPr>
          <w:p w14:paraId="060583A7"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711" w:type="dxa"/>
            <w:tcBorders>
              <w:top w:val="nil"/>
              <w:left w:val="nil"/>
              <w:bottom w:val="nil"/>
              <w:right w:val="nil"/>
            </w:tcBorders>
            <w:noWrap/>
            <w:vAlign w:val="center"/>
            <w:hideMark/>
          </w:tcPr>
          <w:p w14:paraId="1C9852DF"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w:t>
            </w:r>
          </w:p>
        </w:tc>
        <w:tc>
          <w:tcPr>
            <w:tcW w:w="706" w:type="dxa"/>
            <w:tcBorders>
              <w:top w:val="nil"/>
              <w:left w:val="nil"/>
              <w:bottom w:val="nil"/>
              <w:right w:val="nil"/>
            </w:tcBorders>
            <w:noWrap/>
            <w:vAlign w:val="center"/>
            <w:hideMark/>
          </w:tcPr>
          <w:p w14:paraId="1AAFE724"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0</w:t>
            </w:r>
          </w:p>
        </w:tc>
        <w:tc>
          <w:tcPr>
            <w:tcW w:w="960" w:type="dxa"/>
            <w:tcBorders>
              <w:top w:val="nil"/>
              <w:left w:val="nil"/>
              <w:bottom w:val="nil"/>
              <w:right w:val="nil"/>
            </w:tcBorders>
            <w:noWrap/>
            <w:vAlign w:val="center"/>
            <w:hideMark/>
          </w:tcPr>
          <w:p w14:paraId="69431768"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r>
      <w:tr w:rsidR="007A680B" w:rsidRPr="007A680B" w14:paraId="13DCA55A" w14:textId="77777777" w:rsidTr="0055233B">
        <w:trPr>
          <w:trHeight w:val="60"/>
          <w:jc w:val="center"/>
        </w:trPr>
        <w:tc>
          <w:tcPr>
            <w:tcW w:w="2023" w:type="dxa"/>
            <w:tcBorders>
              <w:top w:val="nil"/>
              <w:left w:val="nil"/>
              <w:bottom w:val="single" w:sz="4" w:space="0" w:color="auto"/>
              <w:right w:val="nil"/>
            </w:tcBorders>
            <w:noWrap/>
            <w:vAlign w:val="center"/>
            <w:hideMark/>
          </w:tcPr>
          <w:p w14:paraId="08E7CA65" w14:textId="77777777" w:rsidR="007A680B" w:rsidRPr="007A680B" w:rsidRDefault="007A680B" w:rsidP="007A680B">
            <w:pPr>
              <w:spacing w:after="0" w:line="240" w:lineRule="auto"/>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CAE vs Stenosis</w:t>
            </w:r>
          </w:p>
        </w:tc>
        <w:tc>
          <w:tcPr>
            <w:tcW w:w="761" w:type="dxa"/>
            <w:tcBorders>
              <w:top w:val="nil"/>
              <w:left w:val="nil"/>
              <w:bottom w:val="single" w:sz="4" w:space="0" w:color="auto"/>
              <w:right w:val="nil"/>
            </w:tcBorders>
            <w:noWrap/>
            <w:vAlign w:val="center"/>
            <w:hideMark/>
          </w:tcPr>
          <w:p w14:paraId="3F4C431B"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w:t>
            </w:r>
          </w:p>
        </w:tc>
        <w:tc>
          <w:tcPr>
            <w:tcW w:w="595" w:type="dxa"/>
            <w:tcBorders>
              <w:top w:val="nil"/>
              <w:left w:val="nil"/>
              <w:bottom w:val="single" w:sz="4" w:space="0" w:color="auto"/>
              <w:right w:val="nil"/>
            </w:tcBorders>
            <w:noWrap/>
            <w:vAlign w:val="center"/>
            <w:hideMark/>
          </w:tcPr>
          <w:p w14:paraId="6BB74869"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0</w:t>
            </w:r>
          </w:p>
        </w:tc>
        <w:tc>
          <w:tcPr>
            <w:tcW w:w="1379" w:type="dxa"/>
            <w:tcBorders>
              <w:top w:val="nil"/>
              <w:left w:val="nil"/>
              <w:bottom w:val="single" w:sz="4" w:space="0" w:color="auto"/>
              <w:right w:val="nil"/>
            </w:tcBorders>
            <w:noWrap/>
            <w:vAlign w:val="center"/>
            <w:hideMark/>
          </w:tcPr>
          <w:p w14:paraId="7161C9AB"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1.000–1.000</w:t>
            </w:r>
          </w:p>
        </w:tc>
        <w:tc>
          <w:tcPr>
            <w:tcW w:w="960" w:type="dxa"/>
            <w:tcBorders>
              <w:top w:val="nil"/>
              <w:left w:val="nil"/>
              <w:bottom w:val="single" w:sz="4" w:space="0" w:color="auto"/>
              <w:right w:val="nil"/>
            </w:tcBorders>
            <w:noWrap/>
            <w:vAlign w:val="center"/>
            <w:hideMark/>
          </w:tcPr>
          <w:p w14:paraId="4F82AA1E"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&gt;58.17</w:t>
            </w:r>
          </w:p>
        </w:tc>
        <w:tc>
          <w:tcPr>
            <w:tcW w:w="695" w:type="dxa"/>
            <w:tcBorders>
              <w:top w:val="nil"/>
              <w:left w:val="nil"/>
              <w:bottom w:val="single" w:sz="4" w:space="0" w:color="auto"/>
              <w:right w:val="nil"/>
            </w:tcBorders>
            <w:noWrap/>
            <w:vAlign w:val="center"/>
            <w:hideMark/>
          </w:tcPr>
          <w:p w14:paraId="62C52A9F"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95" w:type="dxa"/>
            <w:tcBorders>
              <w:top w:val="nil"/>
              <w:left w:val="nil"/>
              <w:bottom w:val="single" w:sz="4" w:space="0" w:color="auto"/>
              <w:right w:val="nil"/>
            </w:tcBorders>
            <w:noWrap/>
            <w:vAlign w:val="center"/>
            <w:hideMark/>
          </w:tcPr>
          <w:p w14:paraId="4100FAEA"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17" w:type="dxa"/>
            <w:tcBorders>
              <w:top w:val="nil"/>
              <w:left w:val="nil"/>
              <w:bottom w:val="single" w:sz="4" w:space="0" w:color="auto"/>
              <w:right w:val="nil"/>
            </w:tcBorders>
            <w:noWrap/>
            <w:vAlign w:val="center"/>
            <w:hideMark/>
          </w:tcPr>
          <w:p w14:paraId="5DA6C516"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628" w:type="dxa"/>
            <w:tcBorders>
              <w:top w:val="nil"/>
              <w:left w:val="nil"/>
              <w:bottom w:val="single" w:sz="4" w:space="0" w:color="auto"/>
              <w:right w:val="nil"/>
            </w:tcBorders>
            <w:noWrap/>
            <w:vAlign w:val="center"/>
            <w:hideMark/>
          </w:tcPr>
          <w:p w14:paraId="61E3D447"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c>
          <w:tcPr>
            <w:tcW w:w="711" w:type="dxa"/>
            <w:tcBorders>
              <w:top w:val="nil"/>
              <w:left w:val="nil"/>
              <w:bottom w:val="single" w:sz="4" w:space="0" w:color="auto"/>
              <w:right w:val="nil"/>
            </w:tcBorders>
            <w:noWrap/>
            <w:vAlign w:val="center"/>
            <w:hideMark/>
          </w:tcPr>
          <w:p w14:paraId="7C538839"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w:t>
            </w:r>
          </w:p>
        </w:tc>
        <w:tc>
          <w:tcPr>
            <w:tcW w:w="706" w:type="dxa"/>
            <w:tcBorders>
              <w:top w:val="nil"/>
              <w:left w:val="nil"/>
              <w:bottom w:val="single" w:sz="4" w:space="0" w:color="auto"/>
              <w:right w:val="nil"/>
            </w:tcBorders>
            <w:noWrap/>
            <w:vAlign w:val="center"/>
            <w:hideMark/>
          </w:tcPr>
          <w:p w14:paraId="2B9DEA25"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0</w:t>
            </w:r>
          </w:p>
        </w:tc>
        <w:tc>
          <w:tcPr>
            <w:tcW w:w="960" w:type="dxa"/>
            <w:tcBorders>
              <w:top w:val="nil"/>
              <w:left w:val="nil"/>
              <w:bottom w:val="single" w:sz="4" w:space="0" w:color="auto"/>
              <w:right w:val="nil"/>
            </w:tcBorders>
            <w:noWrap/>
            <w:vAlign w:val="center"/>
            <w:hideMark/>
          </w:tcPr>
          <w:p w14:paraId="642C5598" w14:textId="77777777" w:rsidR="007A680B" w:rsidRPr="007A680B" w:rsidRDefault="007A680B" w:rsidP="007A680B">
            <w:pPr>
              <w:spacing w:after="0" w:line="240" w:lineRule="auto"/>
              <w:jc w:val="center"/>
              <w:rPr>
                <w:rFonts w:ascii="Arial" w:eastAsia="Times New Roman" w:hAnsi="Arial" w:cs="Arial"/>
                <w:color w:val="000000"/>
                <w:kern w:val="0"/>
                <w:sz w:val="20"/>
                <w:szCs w:val="20"/>
                <w:lang w:eastAsia="en-GB"/>
                <w14:ligatures w14:val="none"/>
              </w:rPr>
            </w:pPr>
            <w:r w:rsidRPr="007A680B">
              <w:rPr>
                <w:rFonts w:ascii="Arial" w:eastAsia="Times New Roman" w:hAnsi="Arial" w:cs="Arial"/>
                <w:color w:val="000000"/>
                <w:kern w:val="0"/>
                <w:sz w:val="20"/>
                <w:szCs w:val="20"/>
                <w:lang w:eastAsia="en-GB"/>
                <w14:ligatures w14:val="none"/>
              </w:rPr>
              <w:t>100</w:t>
            </w:r>
          </w:p>
        </w:tc>
      </w:tr>
    </w:tbl>
    <w:p w14:paraId="30C56446" w14:textId="75F1ABB5" w:rsidR="00AB01AC" w:rsidRDefault="00AB01AC" w:rsidP="007A680B">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*AUC = area under the receiver operating characteristic curve; SE = standard error; CI = confidence interval; Sens = sensitivity; Spec = specificity; PPV = positive predictive value; NPV = negative predictive value; +LR = positive likelihood ratio; –LR = negative likelihood ratio; Acc = classification accuracy. Cut</w:t>
      </w:r>
      <w:r w:rsidRPr="00CF61FD">
        <w:rPr>
          <w:rFonts w:ascii="Arial" w:eastAsia="Times New Roman" w:hAnsi="Arial" w:cs="Arial"/>
          <w:color w:val="0F1115"/>
          <w:kern w:val="0"/>
          <w:sz w:val="20"/>
          <w:szCs w:val="20"/>
          <w:lang w:eastAsia="en-GB"/>
          <w14:ligatures w14:val="none"/>
        </w:rPr>
        <w:noBreakHyphen/>
        <w:t>off values determined by Youden’s index. All p</w:t>
      </w:r>
      <w:r w:rsidRPr="00CF61FD">
        <w:rPr>
          <w:rFonts w:ascii="Arial" w:eastAsia="Times New Roman" w:hAnsi="Arial" w:cs="Arial"/>
          <w:color w:val="0F1115"/>
          <w:kern w:val="0"/>
          <w:sz w:val="20"/>
          <w:szCs w:val="20"/>
          <w:lang w:eastAsia="en-GB"/>
          <w14:ligatures w14:val="none"/>
        </w:rPr>
        <w:noBreakHyphen/>
        <w:t>values &lt; 0.0001. ∞ denotes an undefined positive likelihood ratio (specificity = 100%, i.e., zero false positives).*</w:t>
      </w:r>
    </w:p>
    <w:p w14:paraId="14B12034" w14:textId="77777777" w:rsidR="006E5836" w:rsidRPr="00CF61FD" w:rsidRDefault="006E5836"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65CBA22" w14:textId="77777777" w:rsidR="00962F78" w:rsidRDefault="00962F78"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962F78" w:rsidSect="00D204F0">
          <w:type w:val="continuous"/>
          <w:pgSz w:w="11906" w:h="16838"/>
          <w:pgMar w:top="1440" w:right="1440" w:bottom="1440" w:left="1440" w:header="720" w:footer="720" w:gutter="0"/>
          <w:cols w:space="720"/>
          <w:docGrid w:linePitch="360"/>
        </w:sectPr>
      </w:pPr>
    </w:p>
    <w:p w14:paraId="1FA4AF51" w14:textId="77777777" w:rsidR="00AB01AC" w:rsidRPr="006E5836"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E5836">
        <w:rPr>
          <w:rFonts w:ascii="Arial" w:eastAsia="Times New Roman" w:hAnsi="Arial" w:cs="Arial"/>
          <w:i/>
          <w:iCs/>
          <w:color w:val="0F1115"/>
          <w:kern w:val="0"/>
          <w:sz w:val="20"/>
          <w:szCs w:val="20"/>
          <w:lang w:eastAsia="en-GB"/>
          <w14:ligatures w14:val="none"/>
        </w:rPr>
        <w:t>Correlation Analyses</w:t>
      </w:r>
    </w:p>
    <w:p w14:paraId="0BE680C2"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Pearson correlation analyses were performed within each group to examine relationships between MMP</w:t>
      </w:r>
      <w:r w:rsidRPr="00CF61FD">
        <w:rPr>
          <w:rFonts w:ascii="Arial" w:eastAsia="Times New Roman" w:hAnsi="Arial" w:cs="Arial"/>
          <w:color w:val="0F1115"/>
          <w:kern w:val="0"/>
          <w:sz w:val="20"/>
          <w:szCs w:val="20"/>
          <w:lang w:eastAsia="en-GB"/>
          <w14:ligatures w14:val="none"/>
        </w:rPr>
        <w:noBreakHyphen/>
        <w:t>2, inflammatory indices, and lipid parameters. In the CAE group, MMP</w:t>
      </w:r>
      <w:r w:rsidRPr="00CF61FD">
        <w:rPr>
          <w:rFonts w:ascii="Arial" w:eastAsia="Times New Roman" w:hAnsi="Arial" w:cs="Arial"/>
          <w:color w:val="0F1115"/>
          <w:kern w:val="0"/>
          <w:sz w:val="20"/>
          <w:szCs w:val="20"/>
          <w:lang w:eastAsia="en-GB"/>
          <w14:ligatures w14:val="none"/>
        </w:rPr>
        <w:noBreakHyphen/>
        <w:t>2 showed a moderate positive correlation with NLR (r = 0.42, p = 0.007) and PLR (r = 0.38, p = 0.015), but no significant correlation with RDW (r = 0.19, p = 0.24). In the stenosis group, MMP</w:t>
      </w:r>
      <w:r w:rsidRPr="00CF61FD">
        <w:rPr>
          <w:rFonts w:ascii="Arial" w:eastAsia="Times New Roman" w:hAnsi="Arial" w:cs="Arial"/>
          <w:color w:val="0F1115"/>
          <w:kern w:val="0"/>
          <w:sz w:val="20"/>
          <w:szCs w:val="20"/>
          <w:lang w:eastAsia="en-GB"/>
          <w14:ligatures w14:val="none"/>
        </w:rPr>
        <w:noBreakHyphen/>
        <w:t>2 correlated weakly with NLR (r = 0.31, p = 0.05) and PLR (r = 0.28, p = 0.08). No significant correlations were observed between MMP</w:t>
      </w:r>
      <w:r w:rsidRPr="00CF61FD">
        <w:rPr>
          <w:rFonts w:ascii="Arial" w:eastAsia="Times New Roman" w:hAnsi="Arial" w:cs="Arial"/>
          <w:color w:val="0F1115"/>
          <w:kern w:val="0"/>
          <w:sz w:val="20"/>
          <w:szCs w:val="20"/>
          <w:lang w:eastAsia="en-GB"/>
          <w14:ligatures w14:val="none"/>
        </w:rPr>
        <w:noBreakHyphen/>
        <w:t>2 and any lipid parameter in either patient group (all p &gt; 0.10).</w:t>
      </w:r>
    </w:p>
    <w:p w14:paraId="24E64D26" w14:textId="74A829DF"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322A66E6"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Discussion</w:t>
      </w:r>
    </w:p>
    <w:p w14:paraId="1FBA52F5"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The present study provides compelling evidence that coronary artery ectasia represents a distinct, hyper</w:t>
      </w:r>
      <w:r w:rsidRPr="00CF61FD">
        <w:rPr>
          <w:rFonts w:ascii="Arial" w:eastAsia="Times New Roman" w:hAnsi="Arial" w:cs="Arial"/>
          <w:color w:val="0F1115"/>
          <w:kern w:val="0"/>
          <w:sz w:val="20"/>
          <w:szCs w:val="20"/>
          <w:lang w:eastAsia="en-GB"/>
          <w14:ligatures w14:val="none"/>
        </w:rPr>
        <w:noBreakHyphen/>
        <w:t>inflammatory, and excessive matrix</w:t>
      </w:r>
      <w:r w:rsidRPr="00CF61FD">
        <w:rPr>
          <w:rFonts w:ascii="Arial" w:eastAsia="Times New Roman" w:hAnsi="Arial" w:cs="Arial"/>
          <w:color w:val="0F1115"/>
          <w:kern w:val="0"/>
          <w:sz w:val="20"/>
          <w:szCs w:val="20"/>
          <w:lang w:eastAsia="en-GB"/>
          <w14:ligatures w14:val="none"/>
        </w:rPr>
        <w:noBreakHyphen/>
        <w:t xml:space="preserve">degrading phenotype of coronary artery disease, rather than merely a variant of typical atherosclerotic stenosis. Our findings demonstrate that while CAE and CAS share a nearly identical burden of traditional cardiovascular risk factors – including age, obesity, diabetes mellitus, hypertension, and smoking – they diverge profoundly in their biomarker profiles. Specifically, patients with </w:t>
      </w:r>
      <w:r w:rsidRPr="00CF61FD">
        <w:rPr>
          <w:rFonts w:ascii="Arial" w:eastAsia="Times New Roman" w:hAnsi="Arial" w:cs="Arial"/>
          <w:color w:val="0F1115"/>
          <w:kern w:val="0"/>
          <w:sz w:val="20"/>
          <w:szCs w:val="20"/>
          <w:lang w:eastAsia="en-GB"/>
          <w14:ligatures w14:val="none"/>
        </w:rPr>
        <w:t>CAE exhibited markedly elevated levels of MMP</w:t>
      </w:r>
      <w:r w:rsidRPr="00CF61FD">
        <w:rPr>
          <w:rFonts w:ascii="Arial" w:eastAsia="Times New Roman" w:hAnsi="Arial" w:cs="Arial"/>
          <w:color w:val="0F1115"/>
          <w:kern w:val="0"/>
          <w:sz w:val="20"/>
          <w:szCs w:val="20"/>
          <w:lang w:eastAsia="en-GB"/>
          <w14:ligatures w14:val="none"/>
        </w:rPr>
        <w:noBreakHyphen/>
        <w:t>2, more severe atherogenic dyslipidaemia, and significantly amplified systemic inflammatory indices (NLR, PLR, and RDW) compared to both patients with CAS and healthy controls.</w:t>
      </w:r>
    </w:p>
    <w:p w14:paraId="4A0D4CD5" w14:textId="4BDDFA76"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The most striking finding of this study is the exceptional discriminative capacity of serum MMP</w:t>
      </w:r>
      <w:r w:rsidRPr="00CF61FD">
        <w:rPr>
          <w:rFonts w:ascii="Arial" w:eastAsia="Times New Roman" w:hAnsi="Arial" w:cs="Arial"/>
          <w:color w:val="0F1115"/>
          <w:kern w:val="0"/>
          <w:sz w:val="20"/>
          <w:szCs w:val="20"/>
          <w:lang w:eastAsia="en-GB"/>
          <w14:ligatures w14:val="none"/>
        </w:rPr>
        <w:noBreakHyphen/>
        <w:t>2. We observed a nearly five</w:t>
      </w:r>
      <w:r w:rsidRPr="00CF61FD">
        <w:rPr>
          <w:rFonts w:ascii="Arial" w:eastAsia="Times New Roman" w:hAnsi="Arial" w:cs="Arial"/>
          <w:color w:val="0F1115"/>
          <w:kern w:val="0"/>
          <w:sz w:val="20"/>
          <w:szCs w:val="20"/>
          <w:lang w:eastAsia="en-GB"/>
          <w14:ligatures w14:val="none"/>
        </w:rPr>
        <w:noBreakHyphen/>
        <w:t>fold elevation of MMP</w:t>
      </w:r>
      <w:r w:rsidRPr="00CF61FD">
        <w:rPr>
          <w:rFonts w:ascii="Arial" w:eastAsia="Times New Roman" w:hAnsi="Arial" w:cs="Arial"/>
          <w:color w:val="0F1115"/>
          <w:kern w:val="0"/>
          <w:sz w:val="20"/>
          <w:szCs w:val="20"/>
          <w:lang w:eastAsia="en-GB"/>
          <w14:ligatures w14:val="none"/>
        </w:rPr>
        <w:noBreakHyphen/>
        <w:t>2 in the CAE group compared to healthy controls, and roughly double the concentration seen in the CAS group. This substantial elevation aligns with the pathophysiological understanding of vascular remodelling. Matrix metalloproteinases, particularly MMP</w:t>
      </w:r>
      <w:r w:rsidRPr="00CF61FD">
        <w:rPr>
          <w:rFonts w:ascii="Arial" w:eastAsia="Times New Roman" w:hAnsi="Arial" w:cs="Arial"/>
          <w:color w:val="0F1115"/>
          <w:kern w:val="0"/>
          <w:sz w:val="20"/>
          <w:szCs w:val="20"/>
          <w:lang w:eastAsia="en-GB"/>
          <w14:ligatures w14:val="none"/>
        </w:rPr>
        <w:noBreakHyphen/>
        <w:t>2, are zinc</w:t>
      </w:r>
      <w:r w:rsidRPr="00CF61FD">
        <w:rPr>
          <w:rFonts w:ascii="Arial" w:eastAsia="Times New Roman" w:hAnsi="Arial" w:cs="Arial"/>
          <w:color w:val="0F1115"/>
          <w:kern w:val="0"/>
          <w:sz w:val="20"/>
          <w:szCs w:val="20"/>
          <w:lang w:eastAsia="en-GB"/>
          <w14:ligatures w14:val="none"/>
        </w:rPr>
        <w:noBreakHyphen/>
        <w:t xml:space="preserve">dependent endopeptidases crucial for the degradation of extracellular matrix components, including type IV collagen and elastin, which form the structural scaffold of the arterial media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_Ref230082408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16</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Previous research has established that physiological and pathological vascular remodelling entails the degradation and reorganisation of this ECM scaffold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_Ref230082413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17</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The hyperactivation of MMP</w:t>
      </w:r>
      <w:r w:rsidRPr="00CF61FD">
        <w:rPr>
          <w:rFonts w:ascii="Arial" w:eastAsia="Times New Roman" w:hAnsi="Arial" w:cs="Arial"/>
          <w:color w:val="0F1115"/>
          <w:kern w:val="0"/>
          <w:sz w:val="20"/>
          <w:szCs w:val="20"/>
          <w:lang w:eastAsia="en-GB"/>
          <w14:ligatures w14:val="none"/>
        </w:rPr>
        <w:noBreakHyphen/>
        <w:t xml:space="preserve">2 observed in our CAE cohort strongly supports the hypothesis that excessive proteolytic activity contributes directly to vessel wall thinning and progressive luminal dilation characteristic of ectatic disease, </w:t>
      </w:r>
      <w:r w:rsidRPr="00CF61FD">
        <w:rPr>
          <w:rFonts w:ascii="Arial" w:eastAsia="Times New Roman" w:hAnsi="Arial" w:cs="Arial"/>
          <w:color w:val="0F1115"/>
          <w:kern w:val="0"/>
          <w:sz w:val="20"/>
          <w:szCs w:val="20"/>
          <w:lang w:eastAsia="en-GB"/>
          <w14:ligatures w14:val="none"/>
        </w:rPr>
        <w:lastRenderedPageBreak/>
        <w:t xml:space="preserve">distinguishing it from the progressive intimal thickening and luminal narrowing seen in typical stenotic atherosclerosis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_Ref230082419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18</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Furthermore, studies have shown that MMP</w:t>
      </w:r>
      <w:r w:rsidRPr="00CF61FD">
        <w:rPr>
          <w:rFonts w:ascii="Arial" w:eastAsia="Times New Roman" w:hAnsi="Arial" w:cs="Arial"/>
          <w:color w:val="0F1115"/>
          <w:kern w:val="0"/>
          <w:sz w:val="20"/>
          <w:szCs w:val="20"/>
          <w:lang w:eastAsia="en-GB"/>
          <w14:ligatures w14:val="none"/>
        </w:rPr>
        <w:noBreakHyphen/>
        <w:t xml:space="preserve">2 is upregulated in unstable coronary artery disease and overexpressed on the platelet surface in CAD patients, highlighting its role in plaque vulnerability and adverse remodelling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_Ref230082424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19</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The perfect discrimination (AUC = 1.000) achieved by MMP</w:t>
      </w:r>
      <w:r w:rsidRPr="00CF61FD">
        <w:rPr>
          <w:rFonts w:ascii="Arial" w:eastAsia="Times New Roman" w:hAnsi="Arial" w:cs="Arial"/>
          <w:color w:val="0F1115"/>
          <w:kern w:val="0"/>
          <w:sz w:val="20"/>
          <w:szCs w:val="20"/>
          <w:lang w:eastAsia="en-GB"/>
          <w14:ligatures w14:val="none"/>
        </w:rPr>
        <w:noBreakHyphen/>
        <w:t>2 in differentiating CAE from CAS in our study underscores its potential as a robust diagnostic biomarker, although this finding requires validation in larger independent cohorts.</w:t>
      </w:r>
    </w:p>
    <w:p w14:paraId="7B495A52" w14:textId="3A7D3DC1"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In parallel with ECM degradation, our study highlights the central role of systemic inflammation in the pathogenesis of CAE. The haematological inflammatory indices – NLR, PLR, and RDW – were all significantly elevated in the CAE group compared to the CAS and control groups. The disproportionate elevation of NLR (more than three</w:t>
      </w:r>
      <w:r w:rsidRPr="00CF61FD">
        <w:rPr>
          <w:rFonts w:ascii="Arial" w:eastAsia="Times New Roman" w:hAnsi="Arial" w:cs="Arial"/>
          <w:color w:val="0F1115"/>
          <w:kern w:val="0"/>
          <w:sz w:val="20"/>
          <w:szCs w:val="20"/>
          <w:lang w:eastAsia="en-GB"/>
          <w14:ligatures w14:val="none"/>
        </w:rPr>
        <w:noBreakHyphen/>
        <w:t>fold higher than controls and 2.2</w:t>
      </w:r>
      <w:r w:rsidRPr="00CF61FD">
        <w:rPr>
          <w:rFonts w:ascii="Arial" w:eastAsia="Times New Roman" w:hAnsi="Arial" w:cs="Arial"/>
          <w:color w:val="0F1115"/>
          <w:kern w:val="0"/>
          <w:sz w:val="20"/>
          <w:szCs w:val="20"/>
          <w:lang w:eastAsia="en-GB"/>
          <w14:ligatures w14:val="none"/>
        </w:rPr>
        <w:noBreakHyphen/>
        <w:t>fold higher than CAS) indicates a pronounced neutrophil</w:t>
      </w:r>
      <w:r w:rsidRPr="00CF61FD">
        <w:rPr>
          <w:rFonts w:ascii="Arial" w:eastAsia="Times New Roman" w:hAnsi="Arial" w:cs="Arial"/>
          <w:color w:val="0F1115"/>
          <w:kern w:val="0"/>
          <w:sz w:val="20"/>
          <w:szCs w:val="20"/>
          <w:lang w:eastAsia="en-GB"/>
          <w14:ligatures w14:val="none"/>
        </w:rPr>
        <w:noBreakHyphen/>
        <w:t>dominant inflammatory milieu in ectatic disease. Neutrophils are primary sources of proteolytic enzymes, including various MMPs and elastases; thus, this innate immune overactivation likely synergises with MMP</w:t>
      </w:r>
      <w:r w:rsidRPr="00CF61FD">
        <w:rPr>
          <w:rFonts w:ascii="Arial" w:eastAsia="Times New Roman" w:hAnsi="Arial" w:cs="Arial"/>
          <w:color w:val="0F1115"/>
          <w:kern w:val="0"/>
          <w:sz w:val="20"/>
          <w:szCs w:val="20"/>
          <w:lang w:eastAsia="en-GB"/>
          <w14:ligatures w14:val="none"/>
        </w:rPr>
        <w:noBreakHyphen/>
        <w:t xml:space="preserve">2 to accelerate matrix destruction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_Ref230082430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20</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This observation is consistent with previous literature identifying NLR as an independent predictor of CAD severity, plaque vulnerability, and adverse cardiovascular outcomes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_Ref230082435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21</w:t>
      </w:r>
      <w:r w:rsidR="00DD0905">
        <w:rPr>
          <w:rFonts w:ascii="Arial" w:eastAsia="Times New Roman" w:hAnsi="Arial" w:cs="Arial"/>
          <w:color w:val="0000FF"/>
          <w:kern w:val="0"/>
          <w:sz w:val="20"/>
          <w:szCs w:val="20"/>
          <w:lang w:eastAsia="en-GB"/>
          <w14:ligatures w14:val="none"/>
        </w:rPr>
        <w:fldChar w:fldCharType="end"/>
      </w:r>
      <w:r w:rsidRPr="007A0ADF">
        <w:rPr>
          <w:rFonts w:ascii="Arial" w:eastAsia="Times New Roman" w:hAnsi="Arial" w:cs="Arial"/>
          <w:color w:val="0000FF"/>
          <w:kern w:val="0"/>
          <w:sz w:val="20"/>
          <w:szCs w:val="20"/>
          <w:lang w:eastAsia="en-GB"/>
          <w14:ligatures w14:val="none"/>
        </w:rPr>
        <w:t>,</w:t>
      </w:r>
      <w:r w:rsidR="007A0ADF" w:rsidRPr="007A0ADF">
        <w:rPr>
          <w:rFonts w:ascii="Arial" w:eastAsia="Times New Roman" w:hAnsi="Arial" w:cs="Arial"/>
          <w:color w:val="0000FF"/>
          <w:kern w:val="0"/>
          <w:sz w:val="20"/>
          <w:szCs w:val="20"/>
          <w:lang w:eastAsia="en-GB"/>
          <w14:ligatures w14:val="none"/>
        </w:rPr>
        <w:t xml:space="preserve"> </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_Ref230082442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22</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Similarly, the marked elevation of PLR in the CAE group reflects an intensified thrombo</w:t>
      </w:r>
      <w:r w:rsidRPr="00CF61FD">
        <w:rPr>
          <w:rFonts w:ascii="Arial" w:eastAsia="Times New Roman" w:hAnsi="Arial" w:cs="Arial"/>
          <w:color w:val="0F1115"/>
          <w:kern w:val="0"/>
          <w:sz w:val="20"/>
          <w:szCs w:val="20"/>
          <w:lang w:eastAsia="en-GB"/>
          <w14:ligatures w14:val="none"/>
        </w:rPr>
        <w:noBreakHyphen/>
        <w:t>inflammatory state. PLR is an integrated reflection of pro</w:t>
      </w:r>
      <w:r w:rsidRPr="00CF61FD">
        <w:rPr>
          <w:rFonts w:ascii="Arial" w:eastAsia="Times New Roman" w:hAnsi="Arial" w:cs="Arial"/>
          <w:color w:val="0F1115"/>
          <w:kern w:val="0"/>
          <w:sz w:val="20"/>
          <w:szCs w:val="20"/>
          <w:lang w:eastAsia="en-GB"/>
          <w14:ligatures w14:val="none"/>
        </w:rPr>
        <w:noBreakHyphen/>
        <w:t xml:space="preserve">thrombotic and inflammatory pathways, and its elevation has been associated with increased cardiovascular mortality and the complexity of coronary lesions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_Ref230082450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23</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w:t>
      </w:r>
    </w:p>
    <w:p w14:paraId="481AFEEA" w14:textId="27A94F85"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Furthermore, the significant elevation of RDW in both patient groups, with the highest values in the CAE cohort, provides additional insight into the systemic metabolic and oxidative stress associated with these conditions. RDW, a measure of erythrocyte size heterogeneity, has emerged as a powerful prognostic indicator in cardiovascular disease, reflecting chronic inflammatory and oxidative insults that affect erythropoiesis and red blood cell survival </w:t>
      </w:r>
      <w:r w:rsid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_Ref230082456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24</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Elevated RDW is independently associated with endothelial dysfunction, membrane lipid peroxidation, and systemic inflammation </w:t>
      </w:r>
      <w:r w:rsid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_Ref230082461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25</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The elevated RDW in our CAE patients further corroborates the presence of a severe, chronic inflammatory and oxidative burden that likely exacerbates endothelial injury and maladaptive vascular remodelling.</w:t>
      </w:r>
    </w:p>
    <w:p w14:paraId="4EB22C0D" w14:textId="2B160DFC"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Our lipid profile analysis further differentiates the metabolic derangements in CAE from those in CAS. The CAE group exhibited the most severe </w:t>
      </w:r>
      <w:r w:rsidRPr="00CF61FD">
        <w:rPr>
          <w:rFonts w:ascii="Arial" w:eastAsia="Times New Roman" w:hAnsi="Arial" w:cs="Arial"/>
          <w:color w:val="0F1115"/>
          <w:kern w:val="0"/>
          <w:sz w:val="20"/>
          <w:szCs w:val="20"/>
          <w:lang w:eastAsia="en-GB"/>
          <w14:ligatures w14:val="none"/>
        </w:rPr>
        <w:t>atherogenic dyslipidaemia, characterised by the highest levels of total cholesterol, triglycerides, LDL</w:t>
      </w:r>
      <w:r w:rsidRPr="00CF61FD">
        <w:rPr>
          <w:rFonts w:ascii="Arial" w:eastAsia="Times New Roman" w:hAnsi="Arial" w:cs="Arial"/>
          <w:color w:val="0F1115"/>
          <w:kern w:val="0"/>
          <w:sz w:val="20"/>
          <w:szCs w:val="20"/>
          <w:lang w:eastAsia="en-GB"/>
          <w14:ligatures w14:val="none"/>
        </w:rPr>
        <w:noBreakHyphen/>
        <w:t>C, VLDL, and non</w:t>
      </w:r>
      <w:r w:rsidRPr="00CF61FD">
        <w:rPr>
          <w:rFonts w:ascii="Arial" w:eastAsia="Times New Roman" w:hAnsi="Arial" w:cs="Arial"/>
          <w:color w:val="0F1115"/>
          <w:kern w:val="0"/>
          <w:sz w:val="20"/>
          <w:szCs w:val="20"/>
          <w:lang w:eastAsia="en-GB"/>
          <w14:ligatures w14:val="none"/>
        </w:rPr>
        <w:noBreakHyphen/>
        <w:t>HDL</w:t>
      </w:r>
      <w:r w:rsidRPr="00CF61FD">
        <w:rPr>
          <w:rFonts w:ascii="Arial" w:eastAsia="Times New Roman" w:hAnsi="Arial" w:cs="Arial"/>
          <w:color w:val="0F1115"/>
          <w:kern w:val="0"/>
          <w:sz w:val="20"/>
          <w:szCs w:val="20"/>
          <w:lang w:eastAsia="en-GB"/>
          <w14:ligatures w14:val="none"/>
        </w:rPr>
        <w:noBreakHyphen/>
        <w:t>C, alongside the lowest levels of HDL</w:t>
      </w:r>
      <w:r w:rsidRPr="00CF61FD">
        <w:rPr>
          <w:rFonts w:ascii="Arial" w:eastAsia="Times New Roman" w:hAnsi="Arial" w:cs="Arial"/>
          <w:color w:val="0F1115"/>
          <w:kern w:val="0"/>
          <w:sz w:val="20"/>
          <w:szCs w:val="20"/>
          <w:lang w:eastAsia="en-GB"/>
          <w14:ligatures w14:val="none"/>
        </w:rPr>
        <w:noBreakHyphen/>
        <w:t>C. This pronounced dyslipidaemia, particularly the nearly three</w:t>
      </w:r>
      <w:r w:rsidRPr="00CF61FD">
        <w:rPr>
          <w:rFonts w:ascii="Arial" w:eastAsia="Times New Roman" w:hAnsi="Arial" w:cs="Arial"/>
          <w:color w:val="0F1115"/>
          <w:kern w:val="0"/>
          <w:sz w:val="20"/>
          <w:szCs w:val="20"/>
          <w:lang w:eastAsia="en-GB"/>
          <w14:ligatures w14:val="none"/>
        </w:rPr>
        <w:noBreakHyphen/>
        <w:t>fold increase in triglycerides and the significant reduction in HDL</w:t>
      </w:r>
      <w:r w:rsidRPr="00CF61FD">
        <w:rPr>
          <w:rFonts w:ascii="Arial" w:eastAsia="Times New Roman" w:hAnsi="Arial" w:cs="Arial"/>
          <w:color w:val="0F1115"/>
          <w:kern w:val="0"/>
          <w:sz w:val="20"/>
          <w:szCs w:val="20"/>
          <w:lang w:eastAsia="en-GB"/>
          <w14:ligatures w14:val="none"/>
        </w:rPr>
        <w:noBreakHyphen/>
        <w:t>C, suggests a more severe impairment of lipid metabolism and reverse cholesterol transport in ectatic disease. Elevated triglycerides and LDL</w:t>
      </w:r>
      <w:r w:rsidRPr="00CF61FD">
        <w:rPr>
          <w:rFonts w:ascii="Arial" w:eastAsia="Times New Roman" w:hAnsi="Arial" w:cs="Arial"/>
          <w:color w:val="0F1115"/>
          <w:kern w:val="0"/>
          <w:sz w:val="20"/>
          <w:szCs w:val="20"/>
          <w:lang w:eastAsia="en-GB"/>
          <w14:ligatures w14:val="none"/>
        </w:rPr>
        <w:noBreakHyphen/>
        <w:t>C, combined with low HDL</w:t>
      </w:r>
      <w:r w:rsidRPr="00CF61FD">
        <w:rPr>
          <w:rFonts w:ascii="Arial" w:eastAsia="Times New Roman" w:hAnsi="Arial" w:cs="Arial"/>
          <w:color w:val="0F1115"/>
          <w:kern w:val="0"/>
          <w:sz w:val="20"/>
          <w:szCs w:val="20"/>
          <w:lang w:eastAsia="en-GB"/>
          <w14:ligatures w14:val="none"/>
        </w:rPr>
        <w:noBreakHyphen/>
        <w:t xml:space="preserve">C, are established drivers of endothelial injury, foam cell formation, and oxidative stress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_Ref230082467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26</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xml:space="preserve">. Recent evidence indicates that disorders in lipid metabolism, including elevated remnant cholesterol and specific lipoprotein abnormalities, are closely associated with the pathogenesis of CAE </w:t>
      </w:r>
      <w:r w:rsidR="007A0ADF" w:rsidRPr="007A0ADF">
        <w:rPr>
          <w:rFonts w:ascii="Arial" w:eastAsia="Times New Roman" w:hAnsi="Arial" w:cs="Arial"/>
          <w:color w:val="0000FF"/>
          <w:kern w:val="0"/>
          <w:sz w:val="20"/>
          <w:szCs w:val="20"/>
          <w:lang w:eastAsia="en-GB"/>
          <w14:ligatures w14:val="none"/>
        </w:rPr>
        <w:t>(</w:t>
      </w:r>
      <w:r w:rsidR="00DD0905">
        <w:rPr>
          <w:rFonts w:ascii="Arial" w:eastAsia="Times New Roman" w:hAnsi="Arial" w:cs="Arial"/>
          <w:color w:val="0000FF"/>
          <w:kern w:val="0"/>
          <w:sz w:val="20"/>
          <w:szCs w:val="20"/>
          <w:lang w:eastAsia="en-GB"/>
          <w14:ligatures w14:val="none"/>
        </w:rPr>
        <w:fldChar w:fldCharType="begin"/>
      </w:r>
      <w:r w:rsidR="00DD0905">
        <w:rPr>
          <w:rFonts w:ascii="Arial" w:eastAsia="Times New Roman" w:hAnsi="Arial" w:cs="Arial"/>
          <w:color w:val="0000FF"/>
          <w:kern w:val="0"/>
          <w:sz w:val="20"/>
          <w:szCs w:val="20"/>
          <w:lang w:eastAsia="en-GB"/>
          <w14:ligatures w14:val="none"/>
        </w:rPr>
        <w:instrText xml:space="preserve"> REF _Ref230082472 \r \h </w:instrText>
      </w:r>
      <w:r w:rsidR="00DD0905">
        <w:rPr>
          <w:rFonts w:ascii="Arial" w:eastAsia="Times New Roman" w:hAnsi="Arial" w:cs="Arial"/>
          <w:color w:val="0000FF"/>
          <w:kern w:val="0"/>
          <w:sz w:val="20"/>
          <w:szCs w:val="20"/>
          <w:lang w:eastAsia="en-GB"/>
          <w14:ligatures w14:val="none"/>
        </w:rPr>
      </w:r>
      <w:r w:rsidR="00DD0905">
        <w:rPr>
          <w:rFonts w:ascii="Arial" w:eastAsia="Times New Roman" w:hAnsi="Arial" w:cs="Arial"/>
          <w:color w:val="0000FF"/>
          <w:kern w:val="0"/>
          <w:sz w:val="20"/>
          <w:szCs w:val="20"/>
          <w:lang w:eastAsia="en-GB"/>
          <w14:ligatures w14:val="none"/>
        </w:rPr>
        <w:fldChar w:fldCharType="separate"/>
      </w:r>
      <w:r w:rsidR="00DD0905">
        <w:rPr>
          <w:rFonts w:ascii="Arial" w:eastAsia="Times New Roman" w:hAnsi="Arial" w:cs="Arial"/>
          <w:color w:val="0000FF"/>
          <w:kern w:val="0"/>
          <w:sz w:val="20"/>
          <w:szCs w:val="20"/>
          <w:lang w:eastAsia="en-GB"/>
          <w14:ligatures w14:val="none"/>
        </w:rPr>
        <w:t>27</w:t>
      </w:r>
      <w:r w:rsidR="00DD0905">
        <w:rPr>
          <w:rFonts w:ascii="Arial" w:eastAsia="Times New Roman" w:hAnsi="Arial" w:cs="Arial"/>
          <w:color w:val="0000FF"/>
          <w:kern w:val="0"/>
          <w:sz w:val="20"/>
          <w:szCs w:val="20"/>
          <w:lang w:eastAsia="en-GB"/>
          <w14:ligatures w14:val="none"/>
        </w:rPr>
        <w:fldChar w:fldCharType="end"/>
      </w:r>
      <w:r w:rsidR="007A0ADF" w:rsidRPr="007A0ADF">
        <w:rPr>
          <w:rFonts w:ascii="Arial" w:eastAsia="Times New Roman" w:hAnsi="Arial" w:cs="Arial"/>
          <w:color w:val="0000FF"/>
          <w:kern w:val="0"/>
          <w:sz w:val="20"/>
          <w:szCs w:val="20"/>
          <w:lang w:eastAsia="en-GB"/>
          <w14:ligatures w14:val="none"/>
        </w:rPr>
        <w:t>)</w:t>
      </w:r>
      <w:r w:rsidRPr="00CF61FD">
        <w:rPr>
          <w:rFonts w:ascii="Arial" w:eastAsia="Times New Roman" w:hAnsi="Arial" w:cs="Arial"/>
          <w:color w:val="0F1115"/>
          <w:kern w:val="0"/>
          <w:sz w:val="20"/>
          <w:szCs w:val="20"/>
          <w:lang w:eastAsia="en-GB"/>
          <w14:ligatures w14:val="none"/>
        </w:rPr>
        <w:t>. The severe dyslipidaemia observed in our CAE cohort likely acts as a persistent inflammatory stimulus, perpetuating endothelial dysfunction and fuelling the continuous activation of MMPs and innate immune cells, thereby driving the vicious cycle of vascular wall degradation and dilation.</w:t>
      </w:r>
    </w:p>
    <w:p w14:paraId="2450CEC8"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Interestingly, the near</w:t>
      </w:r>
      <w:r w:rsidRPr="00CF61FD">
        <w:rPr>
          <w:rFonts w:ascii="Arial" w:eastAsia="Times New Roman" w:hAnsi="Arial" w:cs="Arial"/>
          <w:color w:val="0F1115"/>
          <w:kern w:val="0"/>
          <w:sz w:val="20"/>
          <w:szCs w:val="20"/>
          <w:lang w:eastAsia="en-GB"/>
          <w14:ligatures w14:val="none"/>
        </w:rPr>
        <w:noBreakHyphen/>
        <w:t>identical prevalence of conventional cardiovascular risk factors (diabetes, hypertension, smoking) between the CAE and CAS groups suggests that these factors alone are insufficient to dictate the specific trajectory of vascular remodelling – dilation versus narrowing. Instead, it appears that the convergence of severe atherogenic dyslipidaemia, amplified systemic inflammation, and hyperactive matrix degradation – as evidenced by elevated MMP</w:t>
      </w:r>
      <w:r w:rsidRPr="00CF61FD">
        <w:rPr>
          <w:rFonts w:ascii="Arial" w:eastAsia="Times New Roman" w:hAnsi="Arial" w:cs="Arial"/>
          <w:color w:val="0F1115"/>
          <w:kern w:val="0"/>
          <w:sz w:val="20"/>
          <w:szCs w:val="20"/>
          <w:lang w:eastAsia="en-GB"/>
          <w14:ligatures w14:val="none"/>
        </w:rPr>
        <w:noBreakHyphen/>
        <w:t>2, NLR, PLR, and RDW – creates a specific pathological microenvironment that favours excessive vessel dilation.</w:t>
      </w:r>
    </w:p>
    <w:p w14:paraId="3204B80B" w14:textId="77777777" w:rsidR="007A680B" w:rsidRPr="00CF61FD" w:rsidRDefault="007A680B"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B19A340" w14:textId="77777777" w:rsidR="00AB01AC" w:rsidRPr="007A680B"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A680B">
        <w:rPr>
          <w:rFonts w:ascii="Arial" w:eastAsia="Times New Roman" w:hAnsi="Arial" w:cs="Arial"/>
          <w:i/>
          <w:iCs/>
          <w:color w:val="0F1115"/>
          <w:kern w:val="0"/>
          <w:sz w:val="20"/>
          <w:szCs w:val="20"/>
          <w:lang w:eastAsia="en-GB"/>
          <w14:ligatures w14:val="none"/>
        </w:rPr>
        <w:t>Study Limitations and Future Directions</w:t>
      </w:r>
    </w:p>
    <w:p w14:paraId="3198AADD"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Several limitations of this study should be acknowledged. First, the cross</w:t>
      </w:r>
      <w:r w:rsidRPr="00CF61FD">
        <w:rPr>
          <w:rFonts w:ascii="Arial" w:eastAsia="Times New Roman" w:hAnsi="Arial" w:cs="Arial"/>
          <w:color w:val="0F1115"/>
          <w:kern w:val="0"/>
          <w:sz w:val="20"/>
          <w:szCs w:val="20"/>
          <w:lang w:eastAsia="en-GB"/>
          <w14:ligatures w14:val="none"/>
        </w:rPr>
        <w:noBreakHyphen/>
        <w:t>sectional design precludes the establishment of causal relationships between the measured biomarkers and the development of CAE. Longitudinal studies are required to determine whether elevated MMP</w:t>
      </w:r>
      <w:r w:rsidRPr="00CF61FD">
        <w:rPr>
          <w:rFonts w:ascii="Arial" w:eastAsia="Times New Roman" w:hAnsi="Arial" w:cs="Arial"/>
          <w:color w:val="0F1115"/>
          <w:kern w:val="0"/>
          <w:sz w:val="20"/>
          <w:szCs w:val="20"/>
          <w:lang w:eastAsia="en-GB"/>
          <w14:ligatures w14:val="none"/>
        </w:rPr>
        <w:noBreakHyphen/>
        <w:t>2 and inflammatory indices precede the onset of ectasia or are consequences of the disease process. Second, the sample size, while sufficient to detect highly significant differences with large effect sizes, is relatively small (40 participants per group) and drawn from a single geographic region (Iraq), which may limit the generalisability of the findings to other populations. Third, we measured circulating systemic levels of MMP</w:t>
      </w:r>
      <w:r w:rsidRPr="00CF61FD">
        <w:rPr>
          <w:rFonts w:ascii="Arial" w:eastAsia="Times New Roman" w:hAnsi="Arial" w:cs="Arial"/>
          <w:color w:val="0F1115"/>
          <w:kern w:val="0"/>
          <w:sz w:val="20"/>
          <w:szCs w:val="20"/>
          <w:lang w:eastAsia="en-GB"/>
          <w14:ligatures w14:val="none"/>
        </w:rPr>
        <w:noBreakHyphen/>
        <w:t>2 and inflammatory markers, which may not perfectly reflect the localised tissue concentrations within the coronary arterial wall. The perfect discrimination (AUC = 1.000) observed for MMP</w:t>
      </w:r>
      <w:r w:rsidRPr="00CF61FD">
        <w:rPr>
          <w:rFonts w:ascii="Arial" w:eastAsia="Times New Roman" w:hAnsi="Arial" w:cs="Arial"/>
          <w:color w:val="0F1115"/>
          <w:kern w:val="0"/>
          <w:sz w:val="20"/>
          <w:szCs w:val="20"/>
          <w:lang w:eastAsia="en-GB"/>
          <w14:ligatures w14:val="none"/>
        </w:rPr>
        <w:noBreakHyphen/>
        <w:t xml:space="preserve">2, while statistically impressive, is </w:t>
      </w:r>
      <w:r w:rsidRPr="00CF61FD">
        <w:rPr>
          <w:rFonts w:ascii="Arial" w:eastAsia="Times New Roman" w:hAnsi="Arial" w:cs="Arial"/>
          <w:color w:val="0F1115"/>
          <w:kern w:val="0"/>
          <w:sz w:val="20"/>
          <w:szCs w:val="20"/>
          <w:lang w:eastAsia="en-GB"/>
          <w14:ligatures w14:val="none"/>
        </w:rPr>
        <w:lastRenderedPageBreak/>
        <w:t>biologically implausible in a real</w:t>
      </w:r>
      <w:r w:rsidRPr="00CF61FD">
        <w:rPr>
          <w:rFonts w:ascii="Arial" w:eastAsia="Times New Roman" w:hAnsi="Arial" w:cs="Arial"/>
          <w:color w:val="0F1115"/>
          <w:kern w:val="0"/>
          <w:sz w:val="20"/>
          <w:szCs w:val="20"/>
          <w:lang w:eastAsia="en-GB"/>
          <w14:ligatures w14:val="none"/>
        </w:rPr>
        <w:noBreakHyphen/>
        <w:t>world clinical setting and likely reflects the limited sample size, lack of an independent validation cohort, and potential overfitting. Therefore, these diagnostic accuracy estimates should be interpreted with caution, and validation in larger, multi</w:t>
      </w:r>
      <w:r w:rsidRPr="00CF61FD">
        <w:rPr>
          <w:rFonts w:ascii="Arial" w:eastAsia="Times New Roman" w:hAnsi="Arial" w:cs="Arial"/>
          <w:color w:val="0F1115"/>
          <w:kern w:val="0"/>
          <w:sz w:val="20"/>
          <w:szCs w:val="20"/>
          <w:lang w:eastAsia="en-GB"/>
          <w14:ligatures w14:val="none"/>
        </w:rPr>
        <w:noBreakHyphen/>
        <w:t>centre studies is essential before any clinical application.</w:t>
      </w:r>
    </w:p>
    <w:p w14:paraId="48DFA73E"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Fourth, the control group consisted of individuals with zero prevalence of diabetes, hypertension, and smoking, which does not represent a typical general population. This selection bias may have artificially inflated the observed differences between patient groups and controls. Future studies should recruit control participants with age</w:t>
      </w:r>
      <w:r w:rsidRPr="00CF61FD">
        <w:rPr>
          <w:rFonts w:ascii="Arial" w:eastAsia="Times New Roman" w:hAnsi="Arial" w:cs="Arial"/>
          <w:color w:val="0F1115"/>
          <w:kern w:val="0"/>
          <w:sz w:val="20"/>
          <w:szCs w:val="20"/>
          <w:lang w:eastAsia="en-GB"/>
          <w14:ligatures w14:val="none"/>
        </w:rPr>
        <w:noBreakHyphen/>
        <w:t xml:space="preserve"> and risk</w:t>
      </w:r>
      <w:r w:rsidRPr="00CF61FD">
        <w:rPr>
          <w:rFonts w:ascii="Arial" w:eastAsia="Times New Roman" w:hAnsi="Arial" w:cs="Arial"/>
          <w:color w:val="0F1115"/>
          <w:kern w:val="0"/>
          <w:sz w:val="20"/>
          <w:szCs w:val="20"/>
          <w:lang w:eastAsia="en-GB"/>
          <w14:ligatures w14:val="none"/>
        </w:rPr>
        <w:noBreakHyphen/>
        <w:t>factor</w:t>
      </w:r>
      <w:r w:rsidRPr="00CF61FD">
        <w:rPr>
          <w:rFonts w:ascii="Arial" w:eastAsia="Times New Roman" w:hAnsi="Arial" w:cs="Arial"/>
          <w:color w:val="0F1115"/>
          <w:kern w:val="0"/>
          <w:sz w:val="20"/>
          <w:szCs w:val="20"/>
          <w:lang w:eastAsia="en-GB"/>
          <w14:ligatures w14:val="none"/>
        </w:rPr>
        <w:noBreakHyphen/>
        <w:t>matched characteristics to provide more realistic comparisons. Fifth, we did not perform intravascular imaging (such as optical coherence tomography or intravascular ultrasound) or local biomarker sampling from coronary vessels, which could provide deeper mechanistic insights into the tissue</w:t>
      </w:r>
      <w:r w:rsidRPr="00CF61FD">
        <w:rPr>
          <w:rFonts w:ascii="Arial" w:eastAsia="Times New Roman" w:hAnsi="Arial" w:cs="Arial"/>
          <w:color w:val="0F1115"/>
          <w:kern w:val="0"/>
          <w:sz w:val="20"/>
          <w:szCs w:val="20"/>
          <w:lang w:eastAsia="en-GB"/>
          <w14:ligatures w14:val="none"/>
        </w:rPr>
        <w:noBreakHyphen/>
        <w:t>specific expression of MMP</w:t>
      </w:r>
      <w:r w:rsidRPr="00CF61FD">
        <w:rPr>
          <w:rFonts w:ascii="Arial" w:eastAsia="Times New Roman" w:hAnsi="Arial" w:cs="Arial"/>
          <w:color w:val="0F1115"/>
          <w:kern w:val="0"/>
          <w:sz w:val="20"/>
          <w:szCs w:val="20"/>
          <w:lang w:eastAsia="en-GB"/>
          <w14:ligatures w14:val="none"/>
        </w:rPr>
        <w:noBreakHyphen/>
        <w:t>2 and inflammatory mediators.</w:t>
      </w:r>
    </w:p>
    <w:p w14:paraId="471FCFE3"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Future research directions should include prospective cohort studies with serial biomarker measurements to establish temporal relationships, multi</w:t>
      </w:r>
      <w:r w:rsidRPr="00CF61FD">
        <w:rPr>
          <w:rFonts w:ascii="Arial" w:eastAsia="Times New Roman" w:hAnsi="Arial" w:cs="Arial"/>
          <w:color w:val="0F1115"/>
          <w:kern w:val="0"/>
          <w:sz w:val="20"/>
          <w:szCs w:val="20"/>
          <w:lang w:eastAsia="en-GB"/>
          <w14:ligatures w14:val="none"/>
        </w:rPr>
        <w:noBreakHyphen/>
        <w:t>centre validation of the optimal MMP</w:t>
      </w:r>
      <w:r w:rsidRPr="00CF61FD">
        <w:rPr>
          <w:rFonts w:ascii="Arial" w:eastAsia="Times New Roman" w:hAnsi="Arial" w:cs="Arial"/>
          <w:color w:val="0F1115"/>
          <w:kern w:val="0"/>
          <w:sz w:val="20"/>
          <w:szCs w:val="20"/>
          <w:lang w:eastAsia="en-GB"/>
          <w14:ligatures w14:val="none"/>
        </w:rPr>
        <w:noBreakHyphen/>
        <w:t>2 cut</w:t>
      </w:r>
      <w:r w:rsidRPr="00CF61FD">
        <w:rPr>
          <w:rFonts w:ascii="Arial" w:eastAsia="Times New Roman" w:hAnsi="Arial" w:cs="Arial"/>
          <w:color w:val="0F1115"/>
          <w:kern w:val="0"/>
          <w:sz w:val="20"/>
          <w:szCs w:val="20"/>
          <w:lang w:eastAsia="en-GB"/>
          <w14:ligatures w14:val="none"/>
        </w:rPr>
        <w:noBreakHyphen/>
        <w:t>off values, integration of genetic polymorphisms (such as MMP</w:t>
      </w:r>
      <w:r w:rsidRPr="00CF61FD">
        <w:rPr>
          <w:rFonts w:ascii="Arial" w:eastAsia="Times New Roman" w:hAnsi="Arial" w:cs="Arial"/>
          <w:color w:val="0F1115"/>
          <w:kern w:val="0"/>
          <w:sz w:val="20"/>
          <w:szCs w:val="20"/>
          <w:lang w:eastAsia="en-GB"/>
          <w14:ligatures w14:val="none"/>
        </w:rPr>
        <w:noBreakHyphen/>
        <w:t>2 gene variants) to assess susceptibility to CAE, and exploration of potential therapeutic strategies targeting MMP</w:t>
      </w:r>
      <w:r w:rsidRPr="00CF61FD">
        <w:rPr>
          <w:rFonts w:ascii="Arial" w:eastAsia="Times New Roman" w:hAnsi="Arial" w:cs="Arial"/>
          <w:color w:val="0F1115"/>
          <w:kern w:val="0"/>
          <w:sz w:val="20"/>
          <w:szCs w:val="20"/>
          <w:lang w:eastAsia="en-GB"/>
          <w14:ligatures w14:val="none"/>
        </w:rPr>
        <w:noBreakHyphen/>
        <w:t>2 or inflammatory pathways to prevent or slow the progression of coronary ectasia. Additionally, studies comparing CAE patients with and without concurrent stenosis would help elucidate whether mixed phenotypes represent a distinct pathophysiological entity.</w:t>
      </w:r>
    </w:p>
    <w:p w14:paraId="2A77138E" w14:textId="7A153F8E"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3535EB21"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Conclusion</w:t>
      </w:r>
    </w:p>
    <w:p w14:paraId="708A21D5" w14:textId="77777777"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In conclusion, the substantial elevation of MMP</w:t>
      </w:r>
      <w:r w:rsidRPr="00CF61FD">
        <w:rPr>
          <w:rFonts w:ascii="Arial" w:eastAsia="Times New Roman" w:hAnsi="Arial" w:cs="Arial"/>
          <w:color w:val="0F1115"/>
          <w:kern w:val="0"/>
          <w:sz w:val="20"/>
          <w:szCs w:val="20"/>
          <w:lang w:eastAsia="en-GB"/>
          <w14:ligatures w14:val="none"/>
        </w:rPr>
        <w:noBreakHyphen/>
        <w:t>2, combined with severe atherogenic dyslipidaemia and amplified systemic inflammatory indices (NLR, PLR, RDW), indicates that distinct, excessive proteolytic and inflammatory pathways drive the pathological vascular dilation in coronary artery ectasia. These findings not only enhance our understanding of the divergent pathogenetic mechanisms underlying ectatic versus stenotic coronary disease but also highlight MMP</w:t>
      </w:r>
      <w:r w:rsidRPr="00CF61FD">
        <w:rPr>
          <w:rFonts w:ascii="Arial" w:eastAsia="Times New Roman" w:hAnsi="Arial" w:cs="Arial"/>
          <w:color w:val="0F1115"/>
          <w:kern w:val="0"/>
          <w:sz w:val="20"/>
          <w:szCs w:val="20"/>
          <w:lang w:eastAsia="en-GB"/>
          <w14:ligatures w14:val="none"/>
        </w:rPr>
        <w:noBreakHyphen/>
        <w:t>2 and routine haematological indices as robust, accessible biomarkers for improved risk stratification and phenotypic discrimination in patients with coronary artery disease. Validation of these findings in larger, independent cohorts is warranted before clinical implementation.</w:t>
      </w:r>
    </w:p>
    <w:p w14:paraId="7E40E834" w14:textId="1C342851"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1B190E9A"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List of Abbreviations</w:t>
      </w:r>
    </w:p>
    <w:p w14:paraId="114FBF2F" w14:textId="7A2CF3BC"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ACS</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Acute coronary syndrome</w:t>
      </w:r>
    </w:p>
    <w:p w14:paraId="3B661F4D" w14:textId="298F6411"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AUC</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Area under the curve</w:t>
      </w:r>
    </w:p>
    <w:p w14:paraId="57CBB3C6" w14:textId="7CFEA1E2"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BMI</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Body mass index</w:t>
      </w:r>
    </w:p>
    <w:p w14:paraId="3CBC94DD" w14:textId="4F9566C4"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CAD</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Coronary artery disease</w:t>
      </w:r>
    </w:p>
    <w:p w14:paraId="29A7A546" w14:textId="31945D39"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CAE</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Coronary artery ectasia</w:t>
      </w:r>
    </w:p>
    <w:p w14:paraId="1F7C30BE" w14:textId="23C91C64"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CAS</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Coronary artery stenosis</w:t>
      </w:r>
    </w:p>
    <w:p w14:paraId="7A66B958" w14:textId="7552E325"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CBC</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Complete blood count</w:t>
      </w:r>
    </w:p>
    <w:p w14:paraId="51E15A61" w14:textId="07E0F2D6"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CI</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Confidence interval</w:t>
      </w:r>
    </w:p>
    <w:p w14:paraId="4D552D5B" w14:textId="5BD0C0E6"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DM</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Diabetes mellitus</w:t>
      </w:r>
    </w:p>
    <w:p w14:paraId="57B9C809" w14:textId="72852A7E"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ECM</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Extracellular matrix</w:t>
      </w:r>
    </w:p>
    <w:p w14:paraId="0D3BE228" w14:textId="79BC1609"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EF</w:t>
      </w:r>
      <w:r>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Ejection fraction</w:t>
      </w:r>
    </w:p>
    <w:p w14:paraId="4D5FC6B0" w14:textId="63027E5A"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ELISA</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00E02C1B">
        <w:rPr>
          <w:rFonts w:ascii="Arial" w:eastAsia="Times New Roman" w:hAnsi="Arial" w:cs="Arial"/>
          <w:kern w:val="0"/>
          <w:sz w:val="20"/>
          <w:szCs w:val="20"/>
          <w:lang w:eastAsia="en-GB"/>
          <w14:ligatures w14:val="none"/>
        </w:rPr>
        <w:t>Enzyme-linked</w:t>
      </w:r>
      <w:r w:rsidRPr="007A680B">
        <w:rPr>
          <w:rFonts w:ascii="Arial" w:eastAsia="Times New Roman" w:hAnsi="Arial" w:cs="Arial"/>
          <w:kern w:val="0"/>
          <w:sz w:val="20"/>
          <w:szCs w:val="20"/>
          <w:lang w:eastAsia="en-GB"/>
          <w14:ligatures w14:val="none"/>
        </w:rPr>
        <w:t xml:space="preserve"> immunosorbent assay</w:t>
      </w:r>
    </w:p>
    <w:p w14:paraId="6E562394" w14:textId="75852201"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HDL C</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00E02C1B">
        <w:rPr>
          <w:rFonts w:ascii="Arial" w:eastAsia="Times New Roman" w:hAnsi="Arial" w:cs="Arial"/>
          <w:kern w:val="0"/>
          <w:sz w:val="20"/>
          <w:szCs w:val="20"/>
          <w:lang w:eastAsia="en-GB"/>
          <w14:ligatures w14:val="none"/>
        </w:rPr>
        <w:t>High-density</w:t>
      </w:r>
      <w:r w:rsidRPr="007A680B">
        <w:rPr>
          <w:rFonts w:ascii="Arial" w:eastAsia="Times New Roman" w:hAnsi="Arial" w:cs="Arial"/>
          <w:kern w:val="0"/>
          <w:sz w:val="20"/>
          <w:szCs w:val="20"/>
          <w:lang w:eastAsia="en-GB"/>
          <w14:ligatures w14:val="none"/>
        </w:rPr>
        <w:t xml:space="preserve"> lipoprotein cholesterol</w:t>
      </w:r>
    </w:p>
    <w:p w14:paraId="799FD634" w14:textId="4D9FA9E9"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LDL C</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00E02C1B">
        <w:rPr>
          <w:rFonts w:ascii="Arial" w:eastAsia="Times New Roman" w:hAnsi="Arial" w:cs="Arial"/>
          <w:kern w:val="0"/>
          <w:sz w:val="20"/>
          <w:szCs w:val="20"/>
          <w:lang w:eastAsia="en-GB"/>
          <w14:ligatures w14:val="none"/>
        </w:rPr>
        <w:t>Low-density</w:t>
      </w:r>
      <w:r w:rsidRPr="007A680B">
        <w:rPr>
          <w:rFonts w:ascii="Arial" w:eastAsia="Times New Roman" w:hAnsi="Arial" w:cs="Arial"/>
          <w:kern w:val="0"/>
          <w:sz w:val="20"/>
          <w:szCs w:val="20"/>
          <w:lang w:eastAsia="en-GB"/>
          <w14:ligatures w14:val="none"/>
        </w:rPr>
        <w:t xml:space="preserve"> lipoprotein cholesterol</w:t>
      </w:r>
    </w:p>
    <w:p w14:paraId="03E98966" w14:textId="79C10217"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–LR</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Negative likelihood ratio</w:t>
      </w:r>
    </w:p>
    <w:p w14:paraId="3148AEF3" w14:textId="7396C37B"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+LR</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Positive likelihood ratio</w:t>
      </w:r>
    </w:p>
    <w:p w14:paraId="4C6C7027" w14:textId="2952C919"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MMP 2</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Matrix metalloproteinase 2</w:t>
      </w:r>
    </w:p>
    <w:p w14:paraId="771753C5" w14:textId="6A3E25AB"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MMPs</w:t>
      </w:r>
      <w:r>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Matrix metalloproteinases</w:t>
      </w:r>
    </w:p>
    <w:p w14:paraId="54F590F8" w14:textId="189C0A3E"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NLR</w:t>
      </w:r>
      <w:r w:rsidR="00E02C1B">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Neutrophil to lymphocyte ratio</w:t>
      </w:r>
    </w:p>
    <w:p w14:paraId="6BC76337" w14:textId="48D0C37B" w:rsidR="007A680B" w:rsidRPr="007A680B" w:rsidRDefault="00E02C1B" w:rsidP="007A680B">
      <w:pPr>
        <w:spacing w:after="0" w:line="240" w:lineRule="auto"/>
        <w:jc w:val="both"/>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Non-HDL:</w:t>
      </w:r>
      <w:r w:rsidR="009D54D4">
        <w:rPr>
          <w:rFonts w:ascii="Arial" w:eastAsia="Times New Roman" w:hAnsi="Arial" w:cs="Arial"/>
          <w:kern w:val="0"/>
          <w:sz w:val="20"/>
          <w:szCs w:val="20"/>
          <w:lang w:eastAsia="en-GB"/>
          <w14:ligatures w14:val="none"/>
        </w:rPr>
        <w:t xml:space="preserve"> </w:t>
      </w:r>
      <w:r>
        <w:rPr>
          <w:rFonts w:ascii="Arial" w:eastAsia="Times New Roman" w:hAnsi="Arial" w:cs="Arial"/>
          <w:kern w:val="0"/>
          <w:sz w:val="20"/>
          <w:szCs w:val="20"/>
          <w:lang w:eastAsia="en-GB"/>
          <w14:ligatures w14:val="none"/>
        </w:rPr>
        <w:t>Non-high-density</w:t>
      </w:r>
      <w:r w:rsidR="007A680B" w:rsidRPr="007A680B">
        <w:rPr>
          <w:rFonts w:ascii="Arial" w:eastAsia="Times New Roman" w:hAnsi="Arial" w:cs="Arial"/>
          <w:kern w:val="0"/>
          <w:sz w:val="20"/>
          <w:szCs w:val="20"/>
          <w:lang w:eastAsia="en-GB"/>
          <w14:ligatures w14:val="none"/>
        </w:rPr>
        <w:t xml:space="preserve"> lipoprotein </w:t>
      </w:r>
      <w:r w:rsidR="009D54D4">
        <w:rPr>
          <w:rFonts w:ascii="Arial" w:eastAsia="Times New Roman" w:hAnsi="Arial" w:cs="Arial"/>
          <w:kern w:val="0"/>
          <w:sz w:val="20"/>
          <w:szCs w:val="20"/>
          <w:lang w:eastAsia="en-GB"/>
          <w14:ligatures w14:val="none"/>
        </w:rPr>
        <w:tab/>
      </w:r>
      <w:r w:rsidR="007A680B" w:rsidRPr="007A680B">
        <w:rPr>
          <w:rFonts w:ascii="Arial" w:eastAsia="Times New Roman" w:hAnsi="Arial" w:cs="Arial"/>
          <w:kern w:val="0"/>
          <w:sz w:val="20"/>
          <w:szCs w:val="20"/>
          <w:lang w:eastAsia="en-GB"/>
          <w14:ligatures w14:val="none"/>
        </w:rPr>
        <w:t>cholesterol</w:t>
      </w:r>
    </w:p>
    <w:p w14:paraId="5B362F1D" w14:textId="12502B16"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NPV</w:t>
      </w:r>
      <w:r w:rsidR="00E02C1B">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Negative predictive value</w:t>
      </w:r>
    </w:p>
    <w:p w14:paraId="48BA485F" w14:textId="1FCAAC6F"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PLR</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Platelet to lymphocyte ratio</w:t>
      </w:r>
    </w:p>
    <w:p w14:paraId="2D774060" w14:textId="3D45EBCD"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PPV</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Positive predictive value</w:t>
      </w:r>
    </w:p>
    <w:p w14:paraId="52ED70E0" w14:textId="521B84BE"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RDW</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Red cell distribution width</w:t>
      </w:r>
    </w:p>
    <w:p w14:paraId="7A101E95" w14:textId="04C0533B"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ROC</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Receiver operating characteristic</w:t>
      </w:r>
    </w:p>
    <w:p w14:paraId="577238D5" w14:textId="6145A89E"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SE</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Standard error</w:t>
      </w:r>
    </w:p>
    <w:p w14:paraId="53FB2336" w14:textId="4862995A"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Sens</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Sensitivity</w:t>
      </w:r>
    </w:p>
    <w:p w14:paraId="6482B4AB" w14:textId="09A1F760"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Spec</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Specificity</w:t>
      </w:r>
    </w:p>
    <w:p w14:paraId="0559ED19" w14:textId="259BE403"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TC</w:t>
      </w:r>
      <w:r w:rsidR="00E02C1B">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Total cholesterol</w:t>
      </w:r>
    </w:p>
    <w:p w14:paraId="65E99DEA" w14:textId="028D5B4F" w:rsidR="007A680B" w:rsidRPr="007A680B"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TG</w:t>
      </w:r>
      <w:r w:rsidR="00A775A5">
        <w:rPr>
          <w:rFonts w:ascii="Arial" w:eastAsia="Times New Roman" w:hAnsi="Arial" w:cs="Arial"/>
          <w:kern w:val="0"/>
          <w:sz w:val="20"/>
          <w:szCs w:val="20"/>
          <w:lang w:eastAsia="en-GB"/>
          <w14:ligatures w14:val="none"/>
        </w:rPr>
        <w:t>:</w:t>
      </w:r>
      <w:r w:rsidRPr="007A680B">
        <w:rPr>
          <w:rFonts w:ascii="Arial" w:eastAsia="Times New Roman" w:hAnsi="Arial" w:cs="Arial"/>
          <w:kern w:val="0"/>
          <w:sz w:val="20"/>
          <w:szCs w:val="20"/>
          <w:lang w:eastAsia="en-GB"/>
          <w14:ligatures w14:val="none"/>
        </w:rPr>
        <w:tab/>
        <w:t>Triglycerides</w:t>
      </w:r>
    </w:p>
    <w:p w14:paraId="1FA7EF08" w14:textId="79338854" w:rsidR="00AB01AC" w:rsidRDefault="007A680B" w:rsidP="007A680B">
      <w:pPr>
        <w:spacing w:after="0" w:line="240" w:lineRule="auto"/>
        <w:jc w:val="both"/>
        <w:rPr>
          <w:rFonts w:ascii="Arial" w:eastAsia="Times New Roman" w:hAnsi="Arial" w:cs="Arial"/>
          <w:kern w:val="0"/>
          <w:sz w:val="20"/>
          <w:szCs w:val="20"/>
          <w:lang w:eastAsia="en-GB"/>
          <w14:ligatures w14:val="none"/>
        </w:rPr>
      </w:pPr>
      <w:r w:rsidRPr="007A680B">
        <w:rPr>
          <w:rFonts w:ascii="Arial" w:eastAsia="Times New Roman" w:hAnsi="Arial" w:cs="Arial"/>
          <w:kern w:val="0"/>
          <w:sz w:val="20"/>
          <w:szCs w:val="20"/>
          <w:lang w:eastAsia="en-GB"/>
          <w14:ligatures w14:val="none"/>
        </w:rPr>
        <w:t>VLDL</w:t>
      </w:r>
      <w:r w:rsidR="00A775A5">
        <w:rPr>
          <w:rFonts w:ascii="Arial" w:eastAsia="Times New Roman" w:hAnsi="Arial" w:cs="Arial"/>
          <w:kern w:val="0"/>
          <w:sz w:val="20"/>
          <w:szCs w:val="20"/>
          <w:lang w:eastAsia="en-GB"/>
          <w14:ligatures w14:val="none"/>
        </w:rPr>
        <w:t>:</w:t>
      </w:r>
      <w:r w:rsidR="00473018">
        <w:rPr>
          <w:rFonts w:ascii="Arial" w:eastAsia="Times New Roman" w:hAnsi="Arial" w:cs="Arial"/>
          <w:kern w:val="0"/>
          <w:sz w:val="20"/>
          <w:szCs w:val="20"/>
          <w:lang w:eastAsia="en-GB"/>
          <w14:ligatures w14:val="none"/>
        </w:rPr>
        <w:tab/>
      </w:r>
      <w:r w:rsidRPr="007A680B">
        <w:rPr>
          <w:rFonts w:ascii="Arial" w:eastAsia="Times New Roman" w:hAnsi="Arial" w:cs="Arial"/>
          <w:kern w:val="0"/>
          <w:sz w:val="20"/>
          <w:szCs w:val="20"/>
          <w:lang w:eastAsia="en-GB"/>
          <w14:ligatures w14:val="none"/>
        </w:rPr>
        <w:t xml:space="preserve">Very </w:t>
      </w:r>
      <w:r w:rsidR="00A775A5">
        <w:rPr>
          <w:rFonts w:ascii="Arial" w:eastAsia="Times New Roman" w:hAnsi="Arial" w:cs="Arial"/>
          <w:kern w:val="0"/>
          <w:sz w:val="20"/>
          <w:szCs w:val="20"/>
          <w:lang w:eastAsia="en-GB"/>
          <w14:ligatures w14:val="none"/>
        </w:rPr>
        <w:t>low-density</w:t>
      </w:r>
      <w:r w:rsidRPr="007A680B">
        <w:rPr>
          <w:rFonts w:ascii="Arial" w:eastAsia="Times New Roman" w:hAnsi="Arial" w:cs="Arial"/>
          <w:kern w:val="0"/>
          <w:sz w:val="20"/>
          <w:szCs w:val="20"/>
          <w:lang w:eastAsia="en-GB"/>
          <w14:ligatures w14:val="none"/>
        </w:rPr>
        <w:t xml:space="preserve"> lipoprotein</w:t>
      </w:r>
    </w:p>
    <w:p w14:paraId="3A12FF4A" w14:textId="77777777" w:rsidR="007A680B" w:rsidRPr="00CF61FD" w:rsidRDefault="007A680B" w:rsidP="00CF61FD">
      <w:pPr>
        <w:spacing w:after="0" w:line="240" w:lineRule="auto"/>
        <w:jc w:val="both"/>
        <w:rPr>
          <w:rFonts w:ascii="Arial" w:eastAsia="Times New Roman" w:hAnsi="Arial" w:cs="Arial"/>
          <w:kern w:val="0"/>
          <w:sz w:val="20"/>
          <w:szCs w:val="20"/>
          <w:lang w:eastAsia="en-GB"/>
          <w14:ligatures w14:val="none"/>
        </w:rPr>
      </w:pPr>
    </w:p>
    <w:p w14:paraId="0889BDA8"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Declarations</w:t>
      </w:r>
    </w:p>
    <w:p w14:paraId="273D8EE7" w14:textId="2B11F882" w:rsidR="00AB01AC" w:rsidRPr="00613B2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13B25">
        <w:rPr>
          <w:rFonts w:ascii="Arial" w:eastAsia="Times New Roman" w:hAnsi="Arial" w:cs="Arial"/>
          <w:i/>
          <w:iCs/>
          <w:color w:val="0F1115"/>
          <w:kern w:val="0"/>
          <w:sz w:val="20"/>
          <w:szCs w:val="20"/>
          <w:lang w:eastAsia="en-GB"/>
          <w14:ligatures w14:val="none"/>
        </w:rPr>
        <w:t>Ethics Approval and Consent to Participate</w:t>
      </w:r>
    </w:p>
    <w:p w14:paraId="7FA00895" w14:textId="097DB08D"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This study was conducted in accordance with the principles of the Declaration of Helsinki. Ethical approval was obtained from the Institutional Review Board of Al</w:t>
      </w:r>
      <w:r w:rsidRPr="00CF61FD">
        <w:rPr>
          <w:rFonts w:ascii="Arial" w:eastAsia="Times New Roman" w:hAnsi="Arial" w:cs="Arial"/>
          <w:color w:val="0F1115"/>
          <w:kern w:val="0"/>
          <w:sz w:val="20"/>
          <w:szCs w:val="20"/>
          <w:lang w:eastAsia="en-GB"/>
          <w14:ligatures w14:val="none"/>
        </w:rPr>
        <w:noBreakHyphen/>
        <w:t xml:space="preserve">Nahrain University College of Medicine (Approval No. 2024/CS/89, dated 15 October 2024). Written informed consent was obtained from all participants </w:t>
      </w:r>
      <w:r w:rsidR="00613B25">
        <w:rPr>
          <w:rFonts w:ascii="Arial" w:eastAsia="Times New Roman" w:hAnsi="Arial" w:cs="Arial"/>
          <w:color w:val="0F1115"/>
          <w:kern w:val="0"/>
          <w:sz w:val="20"/>
          <w:szCs w:val="20"/>
          <w:lang w:eastAsia="en-GB"/>
          <w14:ligatures w14:val="none"/>
        </w:rPr>
        <w:t>before</w:t>
      </w:r>
      <w:r w:rsidRPr="00CF61FD">
        <w:rPr>
          <w:rFonts w:ascii="Arial" w:eastAsia="Times New Roman" w:hAnsi="Arial" w:cs="Arial"/>
          <w:color w:val="0F1115"/>
          <w:kern w:val="0"/>
          <w:sz w:val="20"/>
          <w:szCs w:val="20"/>
          <w:lang w:eastAsia="en-GB"/>
          <w14:ligatures w14:val="none"/>
        </w:rPr>
        <w:t xml:space="preserve"> enrolment. Participants were informed of their right to withdraw from the study at any time without consequence.</w:t>
      </w:r>
    </w:p>
    <w:p w14:paraId="5D21D38E" w14:textId="77777777" w:rsidR="00613B25" w:rsidRPr="00CF61FD" w:rsidRDefault="00613B2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9764613" w14:textId="6CDB6CCF" w:rsidR="00AB01AC" w:rsidRPr="00613B2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13B25">
        <w:rPr>
          <w:rFonts w:ascii="Arial" w:eastAsia="Times New Roman" w:hAnsi="Arial" w:cs="Arial"/>
          <w:i/>
          <w:iCs/>
          <w:color w:val="0F1115"/>
          <w:kern w:val="0"/>
          <w:sz w:val="20"/>
          <w:szCs w:val="20"/>
          <w:lang w:eastAsia="en-GB"/>
          <w14:ligatures w14:val="none"/>
        </w:rPr>
        <w:t>Consent for Publication</w:t>
      </w:r>
    </w:p>
    <w:p w14:paraId="096B09D1"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All authors gave their consent for the publication of this work under the Creative Commons Attribution Non</w:t>
      </w:r>
      <w:r w:rsidRPr="00CF61FD">
        <w:rPr>
          <w:rFonts w:ascii="Arial" w:eastAsia="Times New Roman" w:hAnsi="Arial" w:cs="Arial"/>
          <w:color w:val="0F1115"/>
          <w:kern w:val="0"/>
          <w:sz w:val="20"/>
          <w:szCs w:val="20"/>
          <w:lang w:eastAsia="en-GB"/>
          <w14:ligatures w14:val="none"/>
        </w:rPr>
        <w:noBreakHyphen/>
        <w:t>Commercial 4.0 license.</w:t>
      </w:r>
    </w:p>
    <w:p w14:paraId="0EBE82A2" w14:textId="77777777" w:rsidR="00613B25" w:rsidRPr="00CF61FD" w:rsidRDefault="00613B2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A645244" w14:textId="712990B0" w:rsidR="00AB01AC" w:rsidRPr="00613B2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13B25">
        <w:rPr>
          <w:rFonts w:ascii="Arial" w:eastAsia="Times New Roman" w:hAnsi="Arial" w:cs="Arial"/>
          <w:i/>
          <w:iCs/>
          <w:color w:val="0F1115"/>
          <w:kern w:val="0"/>
          <w:sz w:val="20"/>
          <w:szCs w:val="20"/>
          <w:lang w:eastAsia="en-GB"/>
          <w14:ligatures w14:val="none"/>
        </w:rPr>
        <w:t>Data Availability</w:t>
      </w:r>
    </w:p>
    <w:p w14:paraId="25B4F583"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The datasets generated and analysed during the current study are available from the corresponding author on reasonable request, subject to institutional data sharing policies and participant confidentiality protections.</w:t>
      </w:r>
    </w:p>
    <w:p w14:paraId="4850354F" w14:textId="77777777" w:rsidR="00613B25" w:rsidRPr="00CF61FD" w:rsidRDefault="00613B2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A3B7144" w14:textId="5FD0AEF6" w:rsidR="00AB01AC" w:rsidRPr="00613B2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13B25">
        <w:rPr>
          <w:rFonts w:ascii="Arial" w:eastAsia="Times New Roman" w:hAnsi="Arial" w:cs="Arial"/>
          <w:i/>
          <w:iCs/>
          <w:color w:val="0F1115"/>
          <w:kern w:val="0"/>
          <w:sz w:val="20"/>
          <w:szCs w:val="20"/>
          <w:lang w:eastAsia="en-GB"/>
          <w14:ligatures w14:val="none"/>
        </w:rPr>
        <w:t>Competing Interests</w:t>
      </w:r>
    </w:p>
    <w:p w14:paraId="45750CE7"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 xml:space="preserve">The authors declare that they have no competing interests. No financial or personal relationships </w:t>
      </w:r>
      <w:r w:rsidRPr="00CF61FD">
        <w:rPr>
          <w:rFonts w:ascii="Arial" w:eastAsia="Times New Roman" w:hAnsi="Arial" w:cs="Arial"/>
          <w:color w:val="0F1115"/>
          <w:kern w:val="0"/>
          <w:sz w:val="20"/>
          <w:szCs w:val="20"/>
          <w:lang w:eastAsia="en-GB"/>
          <w14:ligatures w14:val="none"/>
        </w:rPr>
        <w:lastRenderedPageBreak/>
        <w:t>with other people or organisations have inappropriately influenced this work.</w:t>
      </w:r>
    </w:p>
    <w:p w14:paraId="7EA7AD5D" w14:textId="77777777" w:rsidR="00613B25" w:rsidRPr="00CF61FD" w:rsidRDefault="00613B2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67CD388" w14:textId="5099E342" w:rsidR="00AB01AC" w:rsidRPr="00613B2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13B25">
        <w:rPr>
          <w:rFonts w:ascii="Arial" w:eastAsia="Times New Roman" w:hAnsi="Arial" w:cs="Arial"/>
          <w:i/>
          <w:iCs/>
          <w:color w:val="0F1115"/>
          <w:kern w:val="0"/>
          <w:sz w:val="20"/>
          <w:szCs w:val="20"/>
          <w:lang w:eastAsia="en-GB"/>
          <w14:ligatures w14:val="none"/>
        </w:rPr>
        <w:t>Funding</w:t>
      </w:r>
    </w:p>
    <w:p w14:paraId="6DCBEB89" w14:textId="77777777" w:rsidR="00AB01AC"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This research received no specific grant from any funding agency in the public, commercial, or not</w:t>
      </w:r>
      <w:r w:rsidRPr="00CF61FD">
        <w:rPr>
          <w:rFonts w:ascii="Arial" w:eastAsia="Times New Roman" w:hAnsi="Arial" w:cs="Arial"/>
          <w:color w:val="0F1115"/>
          <w:kern w:val="0"/>
          <w:sz w:val="20"/>
          <w:szCs w:val="20"/>
          <w:lang w:eastAsia="en-GB"/>
          <w14:ligatures w14:val="none"/>
        </w:rPr>
        <w:noBreakHyphen/>
        <w:t>for</w:t>
      </w:r>
      <w:r w:rsidRPr="00CF61FD">
        <w:rPr>
          <w:rFonts w:ascii="Arial" w:eastAsia="Times New Roman" w:hAnsi="Arial" w:cs="Arial"/>
          <w:color w:val="0F1115"/>
          <w:kern w:val="0"/>
          <w:sz w:val="20"/>
          <w:szCs w:val="20"/>
          <w:lang w:eastAsia="en-GB"/>
          <w14:ligatures w14:val="none"/>
        </w:rPr>
        <w:noBreakHyphen/>
        <w:t>profit sectors. The study was conducted as part of the academic requirements of the MSc programme at Al</w:t>
      </w:r>
      <w:r w:rsidRPr="00CF61FD">
        <w:rPr>
          <w:rFonts w:ascii="Arial" w:eastAsia="Times New Roman" w:hAnsi="Arial" w:cs="Arial"/>
          <w:color w:val="0F1115"/>
          <w:kern w:val="0"/>
          <w:sz w:val="20"/>
          <w:szCs w:val="20"/>
          <w:lang w:eastAsia="en-GB"/>
          <w14:ligatures w14:val="none"/>
        </w:rPr>
        <w:noBreakHyphen/>
        <w:t>Nahrain University, with all costs borne by the authors.</w:t>
      </w:r>
    </w:p>
    <w:p w14:paraId="00CF4288" w14:textId="77777777" w:rsidR="00613B25" w:rsidRPr="00CF61FD" w:rsidRDefault="00613B25"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0CE0293" w14:textId="6AE8679C" w:rsidR="00613B25"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13B25">
        <w:rPr>
          <w:rFonts w:ascii="Arial" w:eastAsia="Times New Roman" w:hAnsi="Arial" w:cs="Arial"/>
          <w:i/>
          <w:iCs/>
          <w:color w:val="0F1115"/>
          <w:kern w:val="0"/>
          <w:sz w:val="20"/>
          <w:szCs w:val="20"/>
          <w:lang w:eastAsia="en-GB"/>
          <w14:ligatures w14:val="none"/>
        </w:rPr>
        <w:t>Author Contributions</w:t>
      </w:r>
    </w:p>
    <w:p w14:paraId="1CE865AA" w14:textId="2DC0BB2D" w:rsidR="004A1B3A" w:rsidRDefault="005A76D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5A76DC">
        <w:rPr>
          <w:rFonts w:ascii="Arial" w:eastAsia="Times New Roman" w:hAnsi="Arial" w:cs="Arial"/>
          <w:color w:val="0F1115"/>
          <w:kern w:val="0"/>
          <w:sz w:val="20"/>
          <w:szCs w:val="20"/>
          <w:lang w:eastAsia="en-GB"/>
          <w14:ligatures w14:val="none"/>
        </w:rPr>
        <w:t>JNI</w:t>
      </w:r>
      <w:r w:rsidR="00473018">
        <w:rPr>
          <w:rFonts w:ascii="Arial" w:eastAsia="Times New Roman" w:hAnsi="Arial" w:cs="Arial"/>
          <w:color w:val="0F1115"/>
          <w:kern w:val="0"/>
          <w:sz w:val="20"/>
          <w:szCs w:val="20"/>
          <w:lang w:eastAsia="en-GB"/>
          <w14:ligatures w14:val="none"/>
        </w:rPr>
        <w:t xml:space="preserve"> worked on the </w:t>
      </w:r>
      <w:r w:rsidR="007A0ADF" w:rsidRPr="00CF61FD">
        <w:rPr>
          <w:rFonts w:ascii="Arial" w:eastAsia="Times New Roman" w:hAnsi="Arial" w:cs="Arial"/>
          <w:color w:val="0F1115"/>
          <w:kern w:val="0"/>
          <w:sz w:val="20"/>
          <w:szCs w:val="20"/>
          <w:lang w:eastAsia="en-GB"/>
          <w14:ligatures w14:val="none"/>
        </w:rPr>
        <w:t xml:space="preserve">conceptualisation, investigation, data curation, formal analysis, writing </w:t>
      </w:r>
      <w:r w:rsidR="007A0ADF">
        <w:rPr>
          <w:rFonts w:ascii="Arial" w:eastAsia="Times New Roman" w:hAnsi="Arial" w:cs="Arial"/>
          <w:color w:val="0F1115"/>
          <w:kern w:val="0"/>
          <w:sz w:val="20"/>
          <w:szCs w:val="20"/>
          <w:lang w:eastAsia="en-GB"/>
          <w14:ligatures w14:val="none"/>
        </w:rPr>
        <w:t xml:space="preserve">the </w:t>
      </w:r>
      <w:r w:rsidR="007A0ADF" w:rsidRPr="00CF61FD">
        <w:rPr>
          <w:rFonts w:ascii="Arial" w:eastAsia="Times New Roman" w:hAnsi="Arial" w:cs="Arial"/>
          <w:color w:val="0F1115"/>
          <w:kern w:val="0"/>
          <w:sz w:val="20"/>
          <w:szCs w:val="20"/>
          <w:lang w:eastAsia="en-GB"/>
          <w14:ligatures w14:val="none"/>
        </w:rPr>
        <w:t>original draft, writing</w:t>
      </w:r>
      <w:r w:rsidR="007A0ADF">
        <w:rPr>
          <w:rFonts w:ascii="Arial" w:eastAsia="Times New Roman" w:hAnsi="Arial" w:cs="Arial"/>
          <w:color w:val="0F1115"/>
          <w:kern w:val="0"/>
          <w:sz w:val="20"/>
          <w:szCs w:val="20"/>
          <w:lang w:eastAsia="en-GB"/>
          <w14:ligatures w14:val="none"/>
        </w:rPr>
        <w:t xml:space="preserve"> of the </w:t>
      </w:r>
      <w:r w:rsidR="007A0ADF" w:rsidRPr="00CF61FD">
        <w:rPr>
          <w:rFonts w:ascii="Arial" w:eastAsia="Times New Roman" w:hAnsi="Arial" w:cs="Arial"/>
          <w:color w:val="0F1115"/>
          <w:kern w:val="0"/>
          <w:sz w:val="20"/>
          <w:szCs w:val="20"/>
          <w:lang w:eastAsia="en-GB"/>
          <w14:ligatures w14:val="none"/>
        </w:rPr>
        <w:t>review &amp; editing,</w:t>
      </w:r>
      <w:r w:rsidR="00AB01AC" w:rsidRPr="00CF61FD">
        <w:rPr>
          <w:rFonts w:ascii="Arial" w:eastAsia="Times New Roman" w:hAnsi="Arial" w:cs="Arial"/>
          <w:color w:val="0F1115"/>
          <w:kern w:val="0"/>
          <w:sz w:val="20"/>
          <w:szCs w:val="20"/>
          <w:lang w:eastAsia="en-GB"/>
          <w14:ligatures w14:val="none"/>
        </w:rPr>
        <w:t xml:space="preserve"> </w:t>
      </w:r>
      <w:r w:rsidR="00473018">
        <w:rPr>
          <w:rFonts w:ascii="Arial" w:eastAsia="Times New Roman" w:hAnsi="Arial" w:cs="Arial"/>
          <w:color w:val="0F1115"/>
          <w:kern w:val="0"/>
          <w:sz w:val="20"/>
          <w:szCs w:val="20"/>
          <w:lang w:eastAsia="en-GB"/>
          <w14:ligatures w14:val="none"/>
        </w:rPr>
        <w:t xml:space="preserve">and </w:t>
      </w:r>
      <w:r w:rsidR="007A0ADF">
        <w:rPr>
          <w:rFonts w:ascii="Arial" w:eastAsia="Times New Roman" w:hAnsi="Arial" w:cs="Arial"/>
          <w:color w:val="0F1115"/>
          <w:kern w:val="0"/>
          <w:sz w:val="20"/>
          <w:szCs w:val="20"/>
          <w:lang w:eastAsia="en-GB"/>
          <w14:ligatures w14:val="none"/>
        </w:rPr>
        <w:t>p</w:t>
      </w:r>
      <w:r w:rsidR="00AB01AC" w:rsidRPr="00CF61FD">
        <w:rPr>
          <w:rFonts w:ascii="Arial" w:eastAsia="Times New Roman" w:hAnsi="Arial" w:cs="Arial"/>
          <w:color w:val="0F1115"/>
          <w:kern w:val="0"/>
          <w:sz w:val="20"/>
          <w:szCs w:val="20"/>
          <w:lang w:eastAsia="en-GB"/>
          <w14:ligatures w14:val="none"/>
        </w:rPr>
        <w:t>roject administration.</w:t>
      </w:r>
    </w:p>
    <w:p w14:paraId="10394C9F" w14:textId="154F2C2C" w:rsidR="004A1B3A" w:rsidRDefault="005A76D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A1B3A">
        <w:rPr>
          <w:rFonts w:ascii="Arial" w:eastAsia="Times New Roman" w:hAnsi="Arial" w:cs="Arial"/>
          <w:color w:val="0F1115"/>
          <w:kern w:val="0"/>
          <w:sz w:val="20"/>
          <w:szCs w:val="20"/>
          <w:lang w:eastAsia="en-GB"/>
          <w14:ligatures w14:val="none"/>
        </w:rPr>
        <w:t>ARJ</w:t>
      </w:r>
      <w:r w:rsidR="00473018">
        <w:rPr>
          <w:rFonts w:ascii="Arial" w:eastAsia="Times New Roman" w:hAnsi="Arial" w:cs="Arial"/>
          <w:color w:val="0F1115"/>
          <w:kern w:val="0"/>
          <w:sz w:val="20"/>
          <w:szCs w:val="20"/>
          <w:lang w:eastAsia="en-GB"/>
          <w14:ligatures w14:val="none"/>
        </w:rPr>
        <w:t xml:space="preserve"> worked on the </w:t>
      </w:r>
      <w:r w:rsidR="007A0ADF" w:rsidRPr="00CF61FD">
        <w:rPr>
          <w:rFonts w:ascii="Arial" w:eastAsia="Times New Roman" w:hAnsi="Arial" w:cs="Arial"/>
          <w:color w:val="0F1115"/>
          <w:kern w:val="0"/>
          <w:sz w:val="20"/>
          <w:szCs w:val="20"/>
          <w:lang w:eastAsia="en-GB"/>
          <w14:ligatures w14:val="none"/>
        </w:rPr>
        <w:t xml:space="preserve">methodology, validation, supervision, formal analysis, writing </w:t>
      </w:r>
      <w:r w:rsidR="00473018">
        <w:rPr>
          <w:rFonts w:ascii="Arial" w:eastAsia="Times New Roman" w:hAnsi="Arial" w:cs="Arial"/>
          <w:color w:val="0F1115"/>
          <w:kern w:val="0"/>
          <w:sz w:val="20"/>
          <w:szCs w:val="20"/>
          <w:lang w:eastAsia="en-GB"/>
          <w14:ligatures w14:val="none"/>
        </w:rPr>
        <w:t xml:space="preserve">of the </w:t>
      </w:r>
      <w:r w:rsidR="00AB01AC" w:rsidRPr="00CF61FD">
        <w:rPr>
          <w:rFonts w:ascii="Arial" w:eastAsia="Times New Roman" w:hAnsi="Arial" w:cs="Arial"/>
          <w:color w:val="0F1115"/>
          <w:kern w:val="0"/>
          <w:sz w:val="20"/>
          <w:szCs w:val="20"/>
          <w:lang w:eastAsia="en-GB"/>
          <w14:ligatures w14:val="none"/>
        </w:rPr>
        <w:t>review &amp; editing.</w:t>
      </w:r>
    </w:p>
    <w:p w14:paraId="030DFDEF" w14:textId="0828C141" w:rsidR="00AB01AC" w:rsidRDefault="004A1B3A"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A1B3A">
        <w:rPr>
          <w:rFonts w:ascii="Arial" w:eastAsia="Times New Roman" w:hAnsi="Arial" w:cs="Arial"/>
          <w:color w:val="0F1115"/>
          <w:kern w:val="0"/>
          <w:sz w:val="20"/>
          <w:szCs w:val="20"/>
          <w:lang w:eastAsia="en-GB"/>
          <w14:ligatures w14:val="none"/>
        </w:rPr>
        <w:t>AAS</w:t>
      </w:r>
      <w:r w:rsidR="007A0ADF">
        <w:rPr>
          <w:rFonts w:ascii="Arial" w:eastAsia="Times New Roman" w:hAnsi="Arial" w:cs="Arial"/>
          <w:color w:val="0F1115"/>
          <w:kern w:val="0"/>
          <w:sz w:val="20"/>
          <w:szCs w:val="20"/>
          <w:lang w:eastAsia="en-GB"/>
          <w14:ligatures w14:val="none"/>
        </w:rPr>
        <w:t xml:space="preserve"> worked on</w:t>
      </w:r>
      <w:r w:rsidR="00AB01AC" w:rsidRPr="00CF61FD">
        <w:rPr>
          <w:rFonts w:ascii="Arial" w:eastAsia="Times New Roman" w:hAnsi="Arial" w:cs="Arial"/>
          <w:color w:val="0F1115"/>
          <w:kern w:val="0"/>
          <w:sz w:val="20"/>
          <w:szCs w:val="20"/>
          <w:lang w:eastAsia="en-GB"/>
          <w14:ligatures w14:val="none"/>
        </w:rPr>
        <w:t> </w:t>
      </w:r>
      <w:r w:rsidR="007A0ADF" w:rsidRPr="00CF61FD">
        <w:rPr>
          <w:rFonts w:ascii="Arial" w:eastAsia="Times New Roman" w:hAnsi="Arial" w:cs="Arial"/>
          <w:color w:val="0F1115"/>
          <w:kern w:val="0"/>
          <w:sz w:val="20"/>
          <w:szCs w:val="20"/>
          <w:lang w:eastAsia="en-GB"/>
          <w14:ligatures w14:val="none"/>
        </w:rPr>
        <w:t>conceptualisation, methodology, resources, supervision, writing</w:t>
      </w:r>
      <w:r w:rsidR="007A0ADF">
        <w:rPr>
          <w:rFonts w:ascii="Arial" w:eastAsia="Times New Roman" w:hAnsi="Arial" w:cs="Arial"/>
          <w:color w:val="0F1115"/>
          <w:kern w:val="0"/>
          <w:sz w:val="20"/>
          <w:szCs w:val="20"/>
          <w:lang w:eastAsia="en-GB"/>
          <w14:ligatures w14:val="none"/>
        </w:rPr>
        <w:t xml:space="preserve"> of the</w:t>
      </w:r>
      <w:r w:rsidR="007A0ADF" w:rsidRPr="00CF61FD">
        <w:rPr>
          <w:rFonts w:ascii="Arial" w:eastAsia="Times New Roman" w:hAnsi="Arial" w:cs="Arial"/>
          <w:color w:val="0F1115"/>
          <w:kern w:val="0"/>
          <w:sz w:val="20"/>
          <w:szCs w:val="20"/>
          <w:lang w:eastAsia="en-GB"/>
          <w14:ligatures w14:val="none"/>
        </w:rPr>
        <w:t xml:space="preserve"> review &amp; editing</w:t>
      </w:r>
      <w:r w:rsidR="007A0ADF">
        <w:rPr>
          <w:rFonts w:ascii="Arial" w:eastAsia="Times New Roman" w:hAnsi="Arial" w:cs="Arial"/>
          <w:color w:val="0F1115"/>
          <w:kern w:val="0"/>
          <w:sz w:val="20"/>
          <w:szCs w:val="20"/>
          <w:lang w:eastAsia="en-GB"/>
          <w14:ligatures w14:val="none"/>
        </w:rPr>
        <w:t xml:space="preserve"> and</w:t>
      </w:r>
      <w:r w:rsidR="007A0ADF" w:rsidRPr="00CF61FD">
        <w:rPr>
          <w:rFonts w:ascii="Arial" w:eastAsia="Times New Roman" w:hAnsi="Arial" w:cs="Arial"/>
          <w:color w:val="0F1115"/>
          <w:kern w:val="0"/>
          <w:sz w:val="20"/>
          <w:szCs w:val="20"/>
          <w:lang w:eastAsia="en-GB"/>
          <w14:ligatures w14:val="none"/>
        </w:rPr>
        <w:t xml:space="preserve"> funding acquisition (none).</w:t>
      </w:r>
    </w:p>
    <w:p w14:paraId="06239CBF" w14:textId="77777777" w:rsidR="004A1B3A" w:rsidRPr="007A0ADF" w:rsidRDefault="004A1B3A"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AD377B7" w14:textId="4883AB71" w:rsidR="00AB01AC" w:rsidRPr="004A1B3A" w:rsidRDefault="00AB01AC" w:rsidP="00CF61FD">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A1B3A">
        <w:rPr>
          <w:rFonts w:ascii="Arial" w:eastAsia="Times New Roman" w:hAnsi="Arial" w:cs="Arial"/>
          <w:i/>
          <w:iCs/>
          <w:color w:val="0F1115"/>
          <w:kern w:val="0"/>
          <w:sz w:val="20"/>
          <w:szCs w:val="20"/>
          <w:lang w:eastAsia="en-GB"/>
          <w14:ligatures w14:val="none"/>
        </w:rPr>
        <w:t>Acknowledgements</w:t>
      </w:r>
    </w:p>
    <w:p w14:paraId="2DA482AC" w14:textId="021FFE98" w:rsidR="00AB01AC" w:rsidRPr="00CF61FD" w:rsidRDefault="00AB01AC" w:rsidP="00CF61FD">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CF61FD">
        <w:rPr>
          <w:rFonts w:ascii="Arial" w:eastAsia="Times New Roman" w:hAnsi="Arial" w:cs="Arial"/>
          <w:color w:val="0F1115"/>
          <w:kern w:val="0"/>
          <w:sz w:val="20"/>
          <w:szCs w:val="20"/>
          <w:lang w:eastAsia="en-GB"/>
          <w14:ligatures w14:val="none"/>
        </w:rPr>
        <w:t>The authors sincerely thank the staff of the Clinical Biochemistry Laboratory at Al</w:t>
      </w:r>
      <w:r w:rsidRPr="00CF61FD">
        <w:rPr>
          <w:rFonts w:ascii="Arial" w:eastAsia="Times New Roman" w:hAnsi="Arial" w:cs="Arial"/>
          <w:color w:val="0F1115"/>
          <w:kern w:val="0"/>
          <w:sz w:val="20"/>
          <w:szCs w:val="20"/>
          <w:lang w:eastAsia="en-GB"/>
          <w14:ligatures w14:val="none"/>
        </w:rPr>
        <w:noBreakHyphen/>
        <w:t>Imamain Al</w:t>
      </w:r>
      <w:r w:rsidRPr="00CF61FD">
        <w:rPr>
          <w:rFonts w:ascii="Arial" w:eastAsia="Times New Roman" w:hAnsi="Arial" w:cs="Arial"/>
          <w:color w:val="0F1115"/>
          <w:kern w:val="0"/>
          <w:sz w:val="20"/>
          <w:szCs w:val="20"/>
          <w:lang w:eastAsia="en-GB"/>
          <w14:ligatures w14:val="none"/>
        </w:rPr>
        <w:noBreakHyphen/>
        <w:t>Kadhimain Medical City, the catheterisation laboratory team at Ibn Al</w:t>
      </w:r>
      <w:r w:rsidRPr="00CF61FD">
        <w:rPr>
          <w:rFonts w:ascii="Arial" w:eastAsia="Times New Roman" w:hAnsi="Arial" w:cs="Arial"/>
          <w:color w:val="0F1115"/>
          <w:kern w:val="0"/>
          <w:sz w:val="20"/>
          <w:szCs w:val="20"/>
          <w:lang w:eastAsia="en-GB"/>
          <w14:ligatures w14:val="none"/>
        </w:rPr>
        <w:noBreakHyphen/>
        <w:t xml:space="preserve">Bitar </w:t>
      </w:r>
      <w:r w:rsidR="005E36E8">
        <w:rPr>
          <w:rFonts w:ascii="Arial" w:eastAsia="Times New Roman" w:hAnsi="Arial" w:cs="Arial"/>
          <w:color w:val="0F1115"/>
          <w:kern w:val="0"/>
          <w:sz w:val="20"/>
          <w:szCs w:val="20"/>
          <w:lang w:eastAsia="en-GB"/>
          <w14:ligatures w14:val="none"/>
        </w:rPr>
        <w:t>Centre</w:t>
      </w:r>
      <w:r w:rsidRPr="00CF61FD">
        <w:rPr>
          <w:rFonts w:ascii="Arial" w:eastAsia="Times New Roman" w:hAnsi="Arial" w:cs="Arial"/>
          <w:color w:val="0F1115"/>
          <w:kern w:val="0"/>
          <w:sz w:val="20"/>
          <w:szCs w:val="20"/>
          <w:lang w:eastAsia="en-GB"/>
          <w14:ligatures w14:val="none"/>
        </w:rPr>
        <w:t xml:space="preserve"> for Cardiac Surgery, and the nursing staff at Baqubah Teaching Hospital for their invaluable assistance with participant recruitment, sample collection, and logistical support. We also extend our gratitude to all study participants for their cooperation and willingness to contribute to medical research.</w:t>
      </w:r>
    </w:p>
    <w:p w14:paraId="1B35CD23" w14:textId="7D835D73" w:rsidR="00AB01AC" w:rsidRPr="00CF61FD" w:rsidRDefault="00AB01AC" w:rsidP="00CF61FD">
      <w:pPr>
        <w:spacing w:after="0" w:line="240" w:lineRule="auto"/>
        <w:jc w:val="both"/>
        <w:rPr>
          <w:rFonts w:ascii="Arial" w:eastAsia="Times New Roman" w:hAnsi="Arial" w:cs="Arial"/>
          <w:kern w:val="0"/>
          <w:sz w:val="20"/>
          <w:szCs w:val="20"/>
          <w:lang w:eastAsia="en-GB"/>
          <w14:ligatures w14:val="none"/>
        </w:rPr>
      </w:pPr>
    </w:p>
    <w:p w14:paraId="7A0B8A95" w14:textId="77777777" w:rsidR="00AB01AC" w:rsidRPr="00CF61FD" w:rsidRDefault="00AB01AC" w:rsidP="00CF61FD">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CF61FD">
        <w:rPr>
          <w:rFonts w:ascii="Arial" w:eastAsia="Times New Roman" w:hAnsi="Arial" w:cs="Arial"/>
          <w:b/>
          <w:bCs/>
          <w:color w:val="0F1115"/>
          <w:kern w:val="0"/>
          <w:sz w:val="20"/>
          <w:szCs w:val="20"/>
          <w:lang w:eastAsia="en-GB"/>
          <w14:ligatures w14:val="none"/>
        </w:rPr>
        <w:t>References</w:t>
      </w:r>
    </w:p>
    <w:p w14:paraId="104C5C7B" w14:textId="451E0EDA"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5" w:name="_Ref230082291"/>
      <w:r w:rsidRPr="008319B7">
        <w:rPr>
          <w:rFonts w:ascii="Arial" w:eastAsia="Times New Roman" w:hAnsi="Arial" w:cs="Arial"/>
          <w:color w:val="0F1115"/>
          <w:kern w:val="0"/>
          <w:sz w:val="20"/>
          <w:szCs w:val="20"/>
          <w:lang w:eastAsia="en-GB"/>
          <w14:ligatures w14:val="none"/>
        </w:rPr>
        <w:t>Bararu-Bojan I, Badulescu OV, Badescu MC, Vladeanu MC, Plesoianu CE, Bojan A, Iliescu-Halitchi D, Tudor R, Huzum B, Frasinariua OE, Ciocoiu M. New insights into the pathophysiology of coronary artery aneurysms. Diagnostics. 2024 Sep 29;14(19):2167.</w:t>
      </w:r>
      <w:r w:rsidR="00903255">
        <w:rPr>
          <w:rFonts w:ascii="Arial" w:eastAsia="Times New Roman" w:hAnsi="Arial" w:cs="Arial"/>
          <w:color w:val="0F1115"/>
          <w:kern w:val="0"/>
          <w:sz w:val="20"/>
          <w:szCs w:val="20"/>
          <w:lang w:eastAsia="en-GB"/>
          <w14:ligatures w14:val="none"/>
        </w:rPr>
        <w:t xml:space="preserve"> </w:t>
      </w:r>
      <w:hyperlink r:id="rId24" w:history="1">
        <w:r w:rsidR="00903255" w:rsidRPr="005A01FF">
          <w:rPr>
            <w:rStyle w:val="Hyperlink"/>
            <w:rFonts w:ascii="Arial" w:eastAsia="Times New Roman" w:hAnsi="Arial" w:cs="Arial"/>
            <w:color w:val="0000FF"/>
            <w:kern w:val="0"/>
            <w:sz w:val="20"/>
            <w:szCs w:val="20"/>
            <w:lang w:eastAsia="en-GB"/>
            <w14:ligatures w14:val="none"/>
          </w:rPr>
          <w:t>https://doi.org/10.3390/diagnostics14192167</w:t>
        </w:r>
      </w:hyperlink>
      <w:bookmarkEnd w:id="5"/>
      <w:r w:rsidR="00903255" w:rsidRPr="005A01FF">
        <w:rPr>
          <w:rFonts w:ascii="Arial" w:eastAsia="Times New Roman" w:hAnsi="Arial" w:cs="Arial"/>
          <w:color w:val="0000FF"/>
          <w:kern w:val="0"/>
          <w:sz w:val="20"/>
          <w:szCs w:val="20"/>
          <w:lang w:eastAsia="en-GB"/>
          <w14:ligatures w14:val="none"/>
        </w:rPr>
        <w:t xml:space="preserve"> </w:t>
      </w:r>
    </w:p>
    <w:p w14:paraId="7E13ECF8" w14:textId="620873FD"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6" w:name="_Ref230082297"/>
      <w:r w:rsidRPr="008319B7">
        <w:rPr>
          <w:rFonts w:ascii="Arial" w:eastAsia="Times New Roman" w:hAnsi="Arial" w:cs="Arial"/>
          <w:color w:val="0F1115"/>
          <w:kern w:val="0"/>
          <w:sz w:val="20"/>
          <w:szCs w:val="20"/>
          <w:lang w:eastAsia="en-GB"/>
          <w14:ligatures w14:val="none"/>
        </w:rPr>
        <w:t>Raheem JK, Mohialdeen DM, Hassan KW. The Prevalence, Prediction and Angiographic Characteristics of Coronary Ectasia in Slemani Cardiac Center. Thi-Qar Medical Journal. 2023 Dec 31;26(2):681-92.</w:t>
      </w:r>
      <w:bookmarkEnd w:id="6"/>
      <w:r w:rsidR="00903255">
        <w:rPr>
          <w:rFonts w:ascii="Arial" w:eastAsia="Times New Roman" w:hAnsi="Arial" w:cs="Arial"/>
          <w:color w:val="0F1115"/>
          <w:kern w:val="0"/>
          <w:sz w:val="20"/>
          <w:szCs w:val="20"/>
          <w:lang w:eastAsia="en-GB"/>
          <w14:ligatures w14:val="none"/>
        </w:rPr>
        <w:t xml:space="preserve"> </w:t>
      </w:r>
    </w:p>
    <w:p w14:paraId="06A621C8" w14:textId="2F4B03DF"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7" w:name="_Ref230082304"/>
      <w:r w:rsidRPr="008319B7">
        <w:rPr>
          <w:rFonts w:ascii="Arial" w:eastAsia="Times New Roman" w:hAnsi="Arial" w:cs="Arial"/>
          <w:color w:val="0F1115"/>
          <w:kern w:val="0"/>
          <w:sz w:val="20"/>
          <w:szCs w:val="20"/>
          <w:lang w:eastAsia="en-GB"/>
          <w14:ligatures w14:val="none"/>
        </w:rPr>
        <w:t>Richards GH, Hong KL, Henein MY, Hanratty C, Boles U. Coronary artery ectasia: review of the non-atherosclerotic molecular and pathophysiologic concepts. International Journal of Molecular Sciences. 2022 May 6;23(9):5195.</w:t>
      </w:r>
      <w:r w:rsidR="00903255">
        <w:rPr>
          <w:rFonts w:ascii="Arial" w:eastAsia="Times New Roman" w:hAnsi="Arial" w:cs="Arial"/>
          <w:color w:val="0F1115"/>
          <w:kern w:val="0"/>
          <w:sz w:val="20"/>
          <w:szCs w:val="20"/>
          <w:lang w:eastAsia="en-GB"/>
          <w14:ligatures w14:val="none"/>
        </w:rPr>
        <w:t xml:space="preserve"> </w:t>
      </w:r>
      <w:hyperlink r:id="rId25" w:history="1">
        <w:r w:rsidR="00903255" w:rsidRPr="005A01FF">
          <w:rPr>
            <w:rStyle w:val="Hyperlink"/>
            <w:rFonts w:ascii="Arial" w:eastAsia="Times New Roman" w:hAnsi="Arial" w:cs="Arial"/>
            <w:color w:val="0000FF"/>
            <w:kern w:val="0"/>
            <w:sz w:val="20"/>
            <w:szCs w:val="20"/>
            <w:lang w:eastAsia="en-GB"/>
            <w14:ligatures w14:val="none"/>
          </w:rPr>
          <w:t>https://doi.org/10.3390/ijms23095195</w:t>
        </w:r>
      </w:hyperlink>
      <w:bookmarkEnd w:id="7"/>
      <w:r w:rsidR="00903255" w:rsidRPr="005A01FF">
        <w:rPr>
          <w:rFonts w:ascii="Arial" w:eastAsia="Times New Roman" w:hAnsi="Arial" w:cs="Arial"/>
          <w:color w:val="0000FF"/>
          <w:kern w:val="0"/>
          <w:sz w:val="20"/>
          <w:szCs w:val="20"/>
          <w:lang w:eastAsia="en-GB"/>
          <w14:ligatures w14:val="none"/>
        </w:rPr>
        <w:t xml:space="preserve"> </w:t>
      </w:r>
    </w:p>
    <w:p w14:paraId="688DC758" w14:textId="6DB06E67"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8" w:name="_Ref230082310"/>
      <w:r w:rsidRPr="008319B7">
        <w:rPr>
          <w:rFonts w:ascii="Arial" w:eastAsia="Times New Roman" w:hAnsi="Arial" w:cs="Arial"/>
          <w:color w:val="0F1115"/>
          <w:kern w:val="0"/>
          <w:sz w:val="20"/>
          <w:szCs w:val="20"/>
          <w:lang w:eastAsia="en-GB"/>
          <w14:ligatures w14:val="none"/>
        </w:rPr>
        <w:t xml:space="preserve">Mir MA, Dar MA, Qadir A. Exploring the landscape of coronary artery disease: a </w:t>
      </w:r>
      <w:r w:rsidRPr="008319B7">
        <w:rPr>
          <w:rFonts w:ascii="Arial" w:eastAsia="Times New Roman" w:hAnsi="Arial" w:cs="Arial"/>
          <w:color w:val="0F1115"/>
          <w:kern w:val="0"/>
          <w:sz w:val="20"/>
          <w:szCs w:val="20"/>
          <w:lang w:eastAsia="en-GB"/>
          <w14:ligatures w14:val="none"/>
        </w:rPr>
        <w:t>comprehensive review. Am. J. Biomed. Pharm. 2024 Apr;1:9-22.</w:t>
      </w:r>
      <w:bookmarkEnd w:id="8"/>
      <w:r w:rsidR="00903255">
        <w:rPr>
          <w:rFonts w:ascii="Arial" w:eastAsia="Times New Roman" w:hAnsi="Arial" w:cs="Arial"/>
          <w:color w:val="0F1115"/>
          <w:kern w:val="0"/>
          <w:sz w:val="20"/>
          <w:szCs w:val="20"/>
          <w:lang w:eastAsia="en-GB"/>
          <w14:ligatures w14:val="none"/>
        </w:rPr>
        <w:t xml:space="preserve"> </w:t>
      </w:r>
    </w:p>
    <w:p w14:paraId="72A18B3A" w14:textId="70FD7538"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9" w:name="_Ref230082317"/>
      <w:r w:rsidRPr="008319B7">
        <w:rPr>
          <w:rFonts w:ascii="Arial" w:eastAsia="Times New Roman" w:hAnsi="Arial" w:cs="Arial"/>
          <w:color w:val="0F1115"/>
          <w:kern w:val="0"/>
          <w:sz w:val="20"/>
          <w:szCs w:val="20"/>
          <w:lang w:eastAsia="en-GB"/>
          <w14:ligatures w14:val="none"/>
        </w:rPr>
        <w:t xml:space="preserve">Antoniadis AP, Chatzizisis YS, Giannoglou GD. Pathogenetic mechanisms of coronary ectasia. International </w:t>
      </w:r>
      <w:r w:rsidR="005A01FF">
        <w:rPr>
          <w:rFonts w:ascii="Arial" w:eastAsia="Times New Roman" w:hAnsi="Arial" w:cs="Arial"/>
          <w:color w:val="0F1115"/>
          <w:kern w:val="0"/>
          <w:sz w:val="20"/>
          <w:szCs w:val="20"/>
          <w:lang w:eastAsia="en-GB"/>
          <w14:ligatures w14:val="none"/>
        </w:rPr>
        <w:t>J</w:t>
      </w:r>
      <w:r w:rsidRPr="008319B7">
        <w:rPr>
          <w:rFonts w:ascii="Arial" w:eastAsia="Times New Roman" w:hAnsi="Arial" w:cs="Arial"/>
          <w:color w:val="0F1115"/>
          <w:kern w:val="0"/>
          <w:sz w:val="20"/>
          <w:szCs w:val="20"/>
          <w:lang w:eastAsia="en-GB"/>
          <w14:ligatures w14:val="none"/>
        </w:rPr>
        <w:t xml:space="preserve">ournal of </w:t>
      </w:r>
      <w:r w:rsidR="005A01FF">
        <w:rPr>
          <w:rFonts w:ascii="Arial" w:eastAsia="Times New Roman" w:hAnsi="Arial" w:cs="Arial"/>
          <w:color w:val="0F1115"/>
          <w:kern w:val="0"/>
          <w:sz w:val="20"/>
          <w:szCs w:val="20"/>
          <w:lang w:eastAsia="en-GB"/>
          <w14:ligatures w14:val="none"/>
        </w:rPr>
        <w:t>C</w:t>
      </w:r>
      <w:r w:rsidRPr="008319B7">
        <w:rPr>
          <w:rFonts w:ascii="Arial" w:eastAsia="Times New Roman" w:hAnsi="Arial" w:cs="Arial"/>
          <w:color w:val="0F1115"/>
          <w:kern w:val="0"/>
          <w:sz w:val="20"/>
          <w:szCs w:val="20"/>
          <w:lang w:eastAsia="en-GB"/>
          <w14:ligatures w14:val="none"/>
        </w:rPr>
        <w:t>ardiology. 2008 Nov 28;130(3):335-43.</w:t>
      </w:r>
      <w:r w:rsidR="00903255">
        <w:rPr>
          <w:rFonts w:ascii="Arial" w:eastAsia="Times New Roman" w:hAnsi="Arial" w:cs="Arial"/>
          <w:color w:val="0F1115"/>
          <w:kern w:val="0"/>
          <w:sz w:val="20"/>
          <w:szCs w:val="20"/>
          <w:lang w:eastAsia="en-GB"/>
          <w14:ligatures w14:val="none"/>
        </w:rPr>
        <w:t xml:space="preserve"> </w:t>
      </w:r>
      <w:hyperlink r:id="rId26" w:history="1">
        <w:r w:rsidR="00903255" w:rsidRPr="005A01FF">
          <w:rPr>
            <w:rStyle w:val="Hyperlink"/>
            <w:rFonts w:ascii="Arial" w:eastAsia="Times New Roman" w:hAnsi="Arial" w:cs="Arial"/>
            <w:color w:val="0000FF"/>
            <w:kern w:val="0"/>
            <w:sz w:val="20"/>
            <w:szCs w:val="20"/>
            <w:lang w:eastAsia="en-GB"/>
            <w14:ligatures w14:val="none"/>
          </w:rPr>
          <w:t>https://doi.org/10.1016/j.ijcard.2008.05.071</w:t>
        </w:r>
      </w:hyperlink>
      <w:bookmarkEnd w:id="9"/>
      <w:r w:rsidR="00903255" w:rsidRPr="005A01FF">
        <w:rPr>
          <w:rFonts w:ascii="Arial" w:eastAsia="Times New Roman" w:hAnsi="Arial" w:cs="Arial"/>
          <w:color w:val="0000FF"/>
          <w:kern w:val="0"/>
          <w:sz w:val="20"/>
          <w:szCs w:val="20"/>
          <w:lang w:eastAsia="en-GB"/>
          <w14:ligatures w14:val="none"/>
        </w:rPr>
        <w:t xml:space="preserve"> </w:t>
      </w:r>
    </w:p>
    <w:p w14:paraId="678D938D" w14:textId="7A57A6BE"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0" w:name="_Ref230082324"/>
      <w:r w:rsidRPr="008319B7">
        <w:rPr>
          <w:rFonts w:ascii="Arial" w:eastAsia="Times New Roman" w:hAnsi="Arial" w:cs="Arial"/>
          <w:color w:val="0F1115"/>
          <w:kern w:val="0"/>
          <w:sz w:val="20"/>
          <w:szCs w:val="20"/>
          <w:lang w:eastAsia="en-GB"/>
          <w14:ligatures w14:val="none"/>
        </w:rPr>
        <w:t>Shao C, Wang J, Tian J, Tang YD. Coronary artery disease: from mechanism to clinical practice. Coronary Artery Disease: Therapeutics and Drug Discovery. 2020 Mar 26:1-36.</w:t>
      </w:r>
      <w:r w:rsidR="00903255">
        <w:rPr>
          <w:rFonts w:ascii="Arial" w:eastAsia="Times New Roman" w:hAnsi="Arial" w:cs="Arial"/>
          <w:color w:val="0F1115"/>
          <w:kern w:val="0"/>
          <w:sz w:val="20"/>
          <w:szCs w:val="20"/>
          <w:lang w:eastAsia="en-GB"/>
          <w14:ligatures w14:val="none"/>
        </w:rPr>
        <w:t xml:space="preserve"> </w:t>
      </w:r>
      <w:hyperlink r:id="rId27" w:history="1">
        <w:r w:rsidR="00903255" w:rsidRPr="005A01FF">
          <w:rPr>
            <w:rStyle w:val="Hyperlink"/>
            <w:rFonts w:ascii="Arial" w:eastAsia="Times New Roman" w:hAnsi="Arial" w:cs="Arial"/>
            <w:color w:val="0000FF"/>
            <w:kern w:val="0"/>
            <w:sz w:val="20"/>
            <w:szCs w:val="20"/>
            <w:lang w:eastAsia="en-GB"/>
            <w14:ligatures w14:val="none"/>
          </w:rPr>
          <w:t>https://doi.org/10.1007/978-981-15-2517-9_1</w:t>
        </w:r>
      </w:hyperlink>
      <w:bookmarkEnd w:id="10"/>
      <w:r w:rsidR="00903255" w:rsidRPr="005A01FF">
        <w:rPr>
          <w:rFonts w:ascii="Arial" w:eastAsia="Times New Roman" w:hAnsi="Arial" w:cs="Arial"/>
          <w:color w:val="0000FF"/>
          <w:kern w:val="0"/>
          <w:sz w:val="20"/>
          <w:szCs w:val="20"/>
          <w:lang w:eastAsia="en-GB"/>
          <w14:ligatures w14:val="none"/>
        </w:rPr>
        <w:t xml:space="preserve"> </w:t>
      </w:r>
    </w:p>
    <w:p w14:paraId="429A8372" w14:textId="765C83D8"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1" w:name="_Ref230082330"/>
      <w:r w:rsidRPr="008319B7">
        <w:rPr>
          <w:rFonts w:ascii="Arial" w:eastAsia="Times New Roman" w:hAnsi="Arial" w:cs="Arial"/>
          <w:color w:val="0F1115"/>
          <w:kern w:val="0"/>
          <w:sz w:val="20"/>
          <w:szCs w:val="20"/>
          <w:lang w:eastAsia="en-GB"/>
          <w14:ligatures w14:val="none"/>
        </w:rPr>
        <w:t>Zhang L, Zhou J, Kong W. Extracellular matrix in vascular homeostasis and disease. Nature Reviews Cardiology. 2025 May;22(5):333-53.</w:t>
      </w:r>
      <w:r w:rsidR="00903255">
        <w:rPr>
          <w:rFonts w:ascii="Arial" w:eastAsia="Times New Roman" w:hAnsi="Arial" w:cs="Arial"/>
          <w:color w:val="0F1115"/>
          <w:kern w:val="0"/>
          <w:sz w:val="20"/>
          <w:szCs w:val="20"/>
          <w:lang w:eastAsia="en-GB"/>
          <w14:ligatures w14:val="none"/>
        </w:rPr>
        <w:t xml:space="preserve"> </w:t>
      </w:r>
      <w:hyperlink r:id="rId28" w:history="1">
        <w:r w:rsidR="00903255" w:rsidRPr="005A01FF">
          <w:rPr>
            <w:rStyle w:val="Hyperlink"/>
            <w:rFonts w:ascii="Arial" w:eastAsia="Times New Roman" w:hAnsi="Arial" w:cs="Arial"/>
            <w:color w:val="0000FF"/>
            <w:kern w:val="0"/>
            <w:sz w:val="20"/>
            <w:szCs w:val="20"/>
            <w:lang w:eastAsia="en-GB"/>
            <w14:ligatures w14:val="none"/>
          </w:rPr>
          <w:t>https://doi.org/10.1038/s41569-024-01103-0</w:t>
        </w:r>
      </w:hyperlink>
      <w:bookmarkEnd w:id="11"/>
      <w:r w:rsidR="00903255" w:rsidRPr="005A01FF">
        <w:rPr>
          <w:rFonts w:ascii="Arial" w:eastAsia="Times New Roman" w:hAnsi="Arial" w:cs="Arial"/>
          <w:color w:val="0000FF"/>
          <w:kern w:val="0"/>
          <w:sz w:val="20"/>
          <w:szCs w:val="20"/>
          <w:lang w:eastAsia="en-GB"/>
          <w14:ligatures w14:val="none"/>
        </w:rPr>
        <w:t xml:space="preserve"> </w:t>
      </w:r>
    </w:p>
    <w:p w14:paraId="5005D375" w14:textId="144A2014"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2" w:name="_Ref230082337"/>
      <w:r w:rsidRPr="008319B7">
        <w:rPr>
          <w:rFonts w:ascii="Arial" w:eastAsia="Times New Roman" w:hAnsi="Arial" w:cs="Arial"/>
          <w:color w:val="0F1115"/>
          <w:kern w:val="0"/>
          <w:sz w:val="20"/>
          <w:szCs w:val="20"/>
          <w:lang w:eastAsia="en-GB"/>
          <w14:ligatures w14:val="none"/>
        </w:rPr>
        <w:t xml:space="preserve">Wolosowicz M, Prokopiuk S, Kaminski TW. The complex role of matrix metalloproteinase-2 (MMP-2) in health and disease. International </w:t>
      </w:r>
      <w:r w:rsidR="005A01FF" w:rsidRPr="005A01FF">
        <w:rPr>
          <w:rFonts w:ascii="Arial" w:eastAsia="Times New Roman" w:hAnsi="Arial" w:cs="Arial"/>
          <w:kern w:val="0"/>
          <w:sz w:val="20"/>
          <w:szCs w:val="20"/>
          <w:lang w:eastAsia="en-GB"/>
          <w14:ligatures w14:val="none"/>
        </w:rPr>
        <w:t>J</w:t>
      </w:r>
      <w:r w:rsidRPr="008319B7">
        <w:rPr>
          <w:rFonts w:ascii="Arial" w:eastAsia="Times New Roman" w:hAnsi="Arial" w:cs="Arial"/>
          <w:color w:val="0F1115"/>
          <w:kern w:val="0"/>
          <w:sz w:val="20"/>
          <w:szCs w:val="20"/>
          <w:lang w:eastAsia="en-GB"/>
          <w14:ligatures w14:val="none"/>
        </w:rPr>
        <w:t>ournal of</w:t>
      </w:r>
      <w:r w:rsidR="005A01FF">
        <w:rPr>
          <w:rFonts w:ascii="Arial" w:eastAsia="Times New Roman" w:hAnsi="Arial" w:cs="Arial"/>
          <w:color w:val="0F1115"/>
          <w:kern w:val="0"/>
          <w:sz w:val="20"/>
          <w:szCs w:val="20"/>
          <w:lang w:eastAsia="en-GB"/>
          <w14:ligatures w14:val="none"/>
        </w:rPr>
        <w:t xml:space="preserve"> M</w:t>
      </w:r>
      <w:r w:rsidRPr="008319B7">
        <w:rPr>
          <w:rFonts w:ascii="Arial" w:eastAsia="Times New Roman" w:hAnsi="Arial" w:cs="Arial"/>
          <w:color w:val="0F1115"/>
          <w:kern w:val="0"/>
          <w:sz w:val="20"/>
          <w:szCs w:val="20"/>
          <w:lang w:eastAsia="en-GB"/>
          <w14:ligatures w14:val="none"/>
        </w:rPr>
        <w:t xml:space="preserve">olecular </w:t>
      </w:r>
      <w:r w:rsidR="005A01FF">
        <w:rPr>
          <w:rFonts w:ascii="Arial" w:eastAsia="Times New Roman" w:hAnsi="Arial" w:cs="Arial"/>
          <w:color w:val="0F1115"/>
          <w:kern w:val="0"/>
          <w:sz w:val="20"/>
          <w:szCs w:val="20"/>
          <w:lang w:eastAsia="en-GB"/>
          <w14:ligatures w14:val="none"/>
        </w:rPr>
        <w:t>S</w:t>
      </w:r>
      <w:r w:rsidRPr="008319B7">
        <w:rPr>
          <w:rFonts w:ascii="Arial" w:eastAsia="Times New Roman" w:hAnsi="Arial" w:cs="Arial"/>
          <w:color w:val="0F1115"/>
          <w:kern w:val="0"/>
          <w:sz w:val="20"/>
          <w:szCs w:val="20"/>
          <w:lang w:eastAsia="en-GB"/>
          <w14:ligatures w14:val="none"/>
        </w:rPr>
        <w:t>ciences. 2024 Dec 21;25(24):13691.</w:t>
      </w:r>
      <w:r w:rsidR="00903255">
        <w:rPr>
          <w:rFonts w:ascii="Arial" w:eastAsia="Times New Roman" w:hAnsi="Arial" w:cs="Arial"/>
          <w:color w:val="0F1115"/>
          <w:kern w:val="0"/>
          <w:sz w:val="20"/>
          <w:szCs w:val="20"/>
          <w:lang w:eastAsia="en-GB"/>
          <w14:ligatures w14:val="none"/>
        </w:rPr>
        <w:t xml:space="preserve"> </w:t>
      </w:r>
      <w:hyperlink r:id="rId29" w:history="1">
        <w:r w:rsidR="00903255" w:rsidRPr="005A01FF">
          <w:rPr>
            <w:rStyle w:val="Hyperlink"/>
            <w:rFonts w:ascii="Arial" w:eastAsia="Times New Roman" w:hAnsi="Arial" w:cs="Arial"/>
            <w:color w:val="0000FF"/>
            <w:kern w:val="0"/>
            <w:sz w:val="20"/>
            <w:szCs w:val="20"/>
            <w:lang w:eastAsia="en-GB"/>
            <w14:ligatures w14:val="none"/>
          </w:rPr>
          <w:t>https://doi.org/10.3390/ijms252413691</w:t>
        </w:r>
      </w:hyperlink>
      <w:bookmarkEnd w:id="12"/>
      <w:r w:rsidR="00903255" w:rsidRPr="005A01FF">
        <w:rPr>
          <w:rFonts w:ascii="Arial" w:eastAsia="Times New Roman" w:hAnsi="Arial" w:cs="Arial"/>
          <w:color w:val="0000FF"/>
          <w:kern w:val="0"/>
          <w:sz w:val="20"/>
          <w:szCs w:val="20"/>
          <w:lang w:eastAsia="en-GB"/>
          <w14:ligatures w14:val="none"/>
        </w:rPr>
        <w:t xml:space="preserve"> </w:t>
      </w:r>
    </w:p>
    <w:p w14:paraId="14FDF253" w14:textId="1E3A83A1"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3" w:name="_Ref230082344"/>
      <w:r w:rsidRPr="008319B7">
        <w:rPr>
          <w:rFonts w:ascii="Arial" w:eastAsia="Times New Roman" w:hAnsi="Arial" w:cs="Arial"/>
          <w:color w:val="0F1115"/>
          <w:kern w:val="0"/>
          <w:sz w:val="20"/>
          <w:szCs w:val="20"/>
          <w:lang w:eastAsia="en-GB"/>
          <w14:ligatures w14:val="none"/>
        </w:rPr>
        <w:t>Tangjitgamol S, Udayachalerm W, Wanishsawad C, Kaewwanna W, Ativanichayapong N. Association of neutrophil-to-lymphocyte ratio and platelet-to-lymphocyte ratio and coronary artery disease among the physicians. Journal of Inflammation Research. 2024 Dec 31:59-66.</w:t>
      </w:r>
      <w:r w:rsidR="00903255">
        <w:rPr>
          <w:rFonts w:ascii="Arial" w:eastAsia="Times New Roman" w:hAnsi="Arial" w:cs="Arial"/>
          <w:color w:val="0F1115"/>
          <w:kern w:val="0"/>
          <w:sz w:val="20"/>
          <w:szCs w:val="20"/>
          <w:lang w:eastAsia="en-GB"/>
          <w14:ligatures w14:val="none"/>
        </w:rPr>
        <w:t xml:space="preserve"> </w:t>
      </w:r>
      <w:hyperlink r:id="rId30" w:history="1">
        <w:r w:rsidR="00903255" w:rsidRPr="005A01FF">
          <w:rPr>
            <w:rStyle w:val="Hyperlink"/>
            <w:rFonts w:ascii="Arial" w:eastAsia="Times New Roman" w:hAnsi="Arial" w:cs="Arial"/>
            <w:color w:val="0000FF"/>
            <w:kern w:val="0"/>
            <w:sz w:val="20"/>
            <w:szCs w:val="20"/>
            <w:lang w:eastAsia="en-GB"/>
            <w14:ligatures w14:val="none"/>
          </w:rPr>
          <w:t>https://doi.org/10.2147/JIR.S447750</w:t>
        </w:r>
      </w:hyperlink>
      <w:bookmarkEnd w:id="13"/>
      <w:r w:rsidR="00903255" w:rsidRPr="005A01FF">
        <w:rPr>
          <w:rFonts w:ascii="Arial" w:eastAsia="Times New Roman" w:hAnsi="Arial" w:cs="Arial"/>
          <w:color w:val="0000FF"/>
          <w:kern w:val="0"/>
          <w:sz w:val="20"/>
          <w:szCs w:val="20"/>
          <w:lang w:eastAsia="en-GB"/>
          <w14:ligatures w14:val="none"/>
        </w:rPr>
        <w:t xml:space="preserve"> </w:t>
      </w:r>
    </w:p>
    <w:p w14:paraId="1603DF11" w14:textId="44772A7C"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4" w:name="_Ref230082350"/>
      <w:r w:rsidRPr="008319B7">
        <w:rPr>
          <w:rFonts w:ascii="Arial" w:eastAsia="Times New Roman" w:hAnsi="Arial" w:cs="Arial"/>
          <w:color w:val="0F1115"/>
          <w:kern w:val="0"/>
          <w:sz w:val="20"/>
          <w:szCs w:val="20"/>
          <w:lang w:eastAsia="en-GB"/>
          <w14:ligatures w14:val="none"/>
        </w:rPr>
        <w:t xml:space="preserve">Islam MM, Satici MO, Eroglu SE. Unraveling the clinical significance and prognostic value of the neutrophil-to-lymphocyte ratio, platelet-to-lymphocyte ratio, systemic immune-inflammation index, systemic inflammation response index, and delta neutrophil index: An extensive literature review. Turkish </w:t>
      </w:r>
      <w:r w:rsidR="005A01FF">
        <w:rPr>
          <w:rFonts w:ascii="Arial" w:eastAsia="Times New Roman" w:hAnsi="Arial" w:cs="Arial"/>
          <w:color w:val="0F1115"/>
          <w:kern w:val="0"/>
          <w:sz w:val="20"/>
          <w:szCs w:val="20"/>
          <w:lang w:eastAsia="en-GB"/>
          <w14:ligatures w14:val="none"/>
        </w:rPr>
        <w:t>J</w:t>
      </w:r>
      <w:r w:rsidRPr="008319B7">
        <w:rPr>
          <w:rFonts w:ascii="Arial" w:eastAsia="Times New Roman" w:hAnsi="Arial" w:cs="Arial"/>
          <w:color w:val="0F1115"/>
          <w:kern w:val="0"/>
          <w:sz w:val="20"/>
          <w:szCs w:val="20"/>
          <w:lang w:eastAsia="en-GB"/>
          <w14:ligatures w14:val="none"/>
        </w:rPr>
        <w:t xml:space="preserve">ournal of </w:t>
      </w:r>
      <w:r w:rsidR="005A01FF">
        <w:rPr>
          <w:rFonts w:ascii="Arial" w:eastAsia="Times New Roman" w:hAnsi="Arial" w:cs="Arial"/>
          <w:color w:val="0F1115"/>
          <w:kern w:val="0"/>
          <w:sz w:val="20"/>
          <w:szCs w:val="20"/>
          <w:lang w:eastAsia="en-GB"/>
          <w14:ligatures w14:val="none"/>
        </w:rPr>
        <w:t>E</w:t>
      </w:r>
      <w:r w:rsidRPr="008319B7">
        <w:rPr>
          <w:rFonts w:ascii="Arial" w:eastAsia="Times New Roman" w:hAnsi="Arial" w:cs="Arial"/>
          <w:color w:val="0F1115"/>
          <w:kern w:val="0"/>
          <w:sz w:val="20"/>
          <w:szCs w:val="20"/>
          <w:lang w:eastAsia="en-GB"/>
          <w14:ligatures w14:val="none"/>
        </w:rPr>
        <w:t xml:space="preserve">mergency </w:t>
      </w:r>
      <w:r w:rsidR="005A01FF">
        <w:rPr>
          <w:rFonts w:ascii="Arial" w:eastAsia="Times New Roman" w:hAnsi="Arial" w:cs="Arial"/>
          <w:color w:val="0F1115"/>
          <w:kern w:val="0"/>
          <w:sz w:val="20"/>
          <w:szCs w:val="20"/>
          <w:lang w:eastAsia="en-GB"/>
          <w14:ligatures w14:val="none"/>
        </w:rPr>
        <w:t>M</w:t>
      </w:r>
      <w:r w:rsidRPr="008319B7">
        <w:rPr>
          <w:rFonts w:ascii="Arial" w:eastAsia="Times New Roman" w:hAnsi="Arial" w:cs="Arial"/>
          <w:color w:val="0F1115"/>
          <w:kern w:val="0"/>
          <w:sz w:val="20"/>
          <w:szCs w:val="20"/>
          <w:lang w:eastAsia="en-GB"/>
          <w14:ligatures w14:val="none"/>
        </w:rPr>
        <w:t>edicine. 2024 Jan 1;24(1):8-19.</w:t>
      </w:r>
      <w:r w:rsidR="00903255">
        <w:rPr>
          <w:rFonts w:ascii="Arial" w:eastAsia="Times New Roman" w:hAnsi="Arial" w:cs="Arial"/>
          <w:color w:val="0F1115"/>
          <w:kern w:val="0"/>
          <w:sz w:val="20"/>
          <w:szCs w:val="20"/>
          <w:lang w:eastAsia="en-GB"/>
          <w14:ligatures w14:val="none"/>
        </w:rPr>
        <w:t xml:space="preserve"> </w:t>
      </w:r>
      <w:hyperlink r:id="rId31" w:history="1">
        <w:r w:rsidR="00903255" w:rsidRPr="005A01FF">
          <w:rPr>
            <w:rStyle w:val="Hyperlink"/>
            <w:rFonts w:ascii="Arial" w:eastAsia="Times New Roman" w:hAnsi="Arial" w:cs="Arial"/>
            <w:color w:val="0000FF"/>
            <w:kern w:val="0"/>
            <w:sz w:val="20"/>
            <w:szCs w:val="20"/>
            <w:lang w:eastAsia="en-GB"/>
            <w14:ligatures w14:val="none"/>
          </w:rPr>
          <w:t>https://doi.org/10.4103/tjem.tjem_198_23</w:t>
        </w:r>
      </w:hyperlink>
      <w:bookmarkEnd w:id="14"/>
      <w:r w:rsidR="00903255" w:rsidRPr="005A01FF">
        <w:rPr>
          <w:rFonts w:ascii="Arial" w:eastAsia="Times New Roman" w:hAnsi="Arial" w:cs="Arial"/>
          <w:color w:val="0000FF"/>
          <w:kern w:val="0"/>
          <w:sz w:val="20"/>
          <w:szCs w:val="20"/>
          <w:lang w:eastAsia="en-GB"/>
          <w14:ligatures w14:val="none"/>
        </w:rPr>
        <w:t xml:space="preserve"> </w:t>
      </w:r>
    </w:p>
    <w:p w14:paraId="15CF58D9" w14:textId="501C2CAE"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5" w:name="_Ref230082359"/>
      <w:r w:rsidRPr="008319B7">
        <w:rPr>
          <w:rFonts w:ascii="Arial" w:eastAsia="Times New Roman" w:hAnsi="Arial" w:cs="Arial"/>
          <w:color w:val="0F1115"/>
          <w:kern w:val="0"/>
          <w:sz w:val="20"/>
          <w:szCs w:val="20"/>
          <w:lang w:eastAsia="en-GB"/>
          <w14:ligatures w14:val="none"/>
        </w:rPr>
        <w:t>Ji X, Ke W. Red blood cell distribution width and all-cause mortality in congestive heart failure patients: a retrospective cohort study based on the Mimic-III database. Frontiers in Cardiovascular Medicine. 2023 May 3;10:1126718.</w:t>
      </w:r>
      <w:r w:rsidR="00903255">
        <w:rPr>
          <w:rFonts w:ascii="Arial" w:eastAsia="Times New Roman" w:hAnsi="Arial" w:cs="Arial"/>
          <w:color w:val="0F1115"/>
          <w:kern w:val="0"/>
          <w:sz w:val="20"/>
          <w:szCs w:val="20"/>
          <w:lang w:eastAsia="en-GB"/>
          <w14:ligatures w14:val="none"/>
        </w:rPr>
        <w:t xml:space="preserve"> </w:t>
      </w:r>
      <w:hyperlink r:id="rId32" w:history="1">
        <w:r w:rsidR="00903255" w:rsidRPr="005A01FF">
          <w:rPr>
            <w:rStyle w:val="Hyperlink"/>
            <w:rFonts w:ascii="Arial" w:eastAsia="Times New Roman" w:hAnsi="Arial" w:cs="Arial"/>
            <w:color w:val="0000FF"/>
            <w:kern w:val="0"/>
            <w:sz w:val="20"/>
            <w:szCs w:val="20"/>
            <w:lang w:eastAsia="en-GB"/>
            <w14:ligatures w14:val="none"/>
          </w:rPr>
          <w:t>https://doi.org/10.3389/fcvm.2023.1126718</w:t>
        </w:r>
      </w:hyperlink>
      <w:bookmarkEnd w:id="15"/>
      <w:r w:rsidR="00903255" w:rsidRPr="005A01FF">
        <w:rPr>
          <w:rFonts w:ascii="Arial" w:eastAsia="Times New Roman" w:hAnsi="Arial" w:cs="Arial"/>
          <w:color w:val="0000FF"/>
          <w:kern w:val="0"/>
          <w:sz w:val="20"/>
          <w:szCs w:val="20"/>
          <w:lang w:eastAsia="en-GB"/>
          <w14:ligatures w14:val="none"/>
        </w:rPr>
        <w:t xml:space="preserve"> </w:t>
      </w:r>
    </w:p>
    <w:p w14:paraId="4107DBA3" w14:textId="21AC4F02"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6" w:name="_Ref230082367"/>
      <w:r w:rsidRPr="008319B7">
        <w:rPr>
          <w:rFonts w:ascii="Arial" w:eastAsia="Times New Roman" w:hAnsi="Arial" w:cs="Arial"/>
          <w:color w:val="0F1115"/>
          <w:kern w:val="0"/>
          <w:sz w:val="20"/>
          <w:szCs w:val="20"/>
          <w:lang w:eastAsia="en-GB"/>
          <w14:ligatures w14:val="none"/>
        </w:rPr>
        <w:t>Afzal M. Red Cell Distribution Width (RDW) as a Prognostic Marker in Systemic Diseases: A Mini Review. Indian Journal of Hematology and Blood Transfusion. 2025 Nov 6:1-7.</w:t>
      </w:r>
      <w:r w:rsidR="00903255">
        <w:rPr>
          <w:rFonts w:ascii="Arial" w:eastAsia="Times New Roman" w:hAnsi="Arial" w:cs="Arial"/>
          <w:color w:val="0F1115"/>
          <w:kern w:val="0"/>
          <w:sz w:val="20"/>
          <w:szCs w:val="20"/>
          <w:lang w:eastAsia="en-GB"/>
          <w14:ligatures w14:val="none"/>
        </w:rPr>
        <w:t xml:space="preserve"> </w:t>
      </w:r>
      <w:hyperlink r:id="rId33" w:history="1">
        <w:r w:rsidR="004D156E" w:rsidRPr="005A01FF">
          <w:rPr>
            <w:rStyle w:val="Hyperlink"/>
            <w:rFonts w:ascii="Arial" w:eastAsia="Times New Roman" w:hAnsi="Arial" w:cs="Arial"/>
            <w:color w:val="0000FF"/>
            <w:kern w:val="0"/>
            <w:sz w:val="20"/>
            <w:szCs w:val="20"/>
            <w:lang w:eastAsia="en-GB"/>
            <w14:ligatures w14:val="none"/>
          </w:rPr>
          <w:t>https://doi.org/10.1007/s12288-025-02210-9</w:t>
        </w:r>
      </w:hyperlink>
      <w:bookmarkEnd w:id="16"/>
      <w:r w:rsidR="004D156E" w:rsidRPr="005A01FF">
        <w:rPr>
          <w:rFonts w:ascii="Arial" w:eastAsia="Times New Roman" w:hAnsi="Arial" w:cs="Arial"/>
          <w:color w:val="0000FF"/>
          <w:kern w:val="0"/>
          <w:sz w:val="20"/>
          <w:szCs w:val="20"/>
          <w:lang w:eastAsia="en-GB"/>
          <w14:ligatures w14:val="none"/>
        </w:rPr>
        <w:t xml:space="preserve"> </w:t>
      </w:r>
    </w:p>
    <w:p w14:paraId="70F23426" w14:textId="44D49945"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7" w:name="_Ref230082377"/>
      <w:r w:rsidRPr="008319B7">
        <w:rPr>
          <w:rFonts w:ascii="Arial" w:eastAsia="Times New Roman" w:hAnsi="Arial" w:cs="Arial"/>
          <w:color w:val="0F1115"/>
          <w:kern w:val="0"/>
          <w:sz w:val="20"/>
          <w:szCs w:val="20"/>
          <w:lang w:eastAsia="en-GB"/>
          <w14:ligatures w14:val="none"/>
        </w:rPr>
        <w:t>Madaudo C, Bono G, Ortello A, Astuti G, Mingoia G, Galassi AR, Sucato V. Dysfunctional high-density lipoprotein cholesterol and coronary artery disease: a narrative review. Journal of Personalized Medicine. 2024 Sep 19;14(9):996.</w:t>
      </w:r>
      <w:r w:rsidR="00903255">
        <w:rPr>
          <w:rFonts w:ascii="Arial" w:eastAsia="Times New Roman" w:hAnsi="Arial" w:cs="Arial"/>
          <w:color w:val="0F1115"/>
          <w:kern w:val="0"/>
          <w:sz w:val="20"/>
          <w:szCs w:val="20"/>
          <w:lang w:eastAsia="en-GB"/>
          <w14:ligatures w14:val="none"/>
        </w:rPr>
        <w:t xml:space="preserve"> </w:t>
      </w:r>
      <w:hyperlink r:id="rId34" w:history="1">
        <w:r w:rsidR="00903255" w:rsidRPr="005A01FF">
          <w:rPr>
            <w:rStyle w:val="Hyperlink"/>
            <w:rFonts w:ascii="Arial" w:eastAsia="Times New Roman" w:hAnsi="Arial" w:cs="Arial"/>
            <w:color w:val="0000FF"/>
            <w:kern w:val="0"/>
            <w:sz w:val="20"/>
            <w:szCs w:val="20"/>
            <w:lang w:eastAsia="en-GB"/>
            <w14:ligatures w14:val="none"/>
          </w:rPr>
          <w:t>https://doi.org/10.3390/jpm14090996</w:t>
        </w:r>
      </w:hyperlink>
      <w:bookmarkEnd w:id="17"/>
      <w:r w:rsidR="00903255" w:rsidRPr="005A01FF">
        <w:rPr>
          <w:rFonts w:ascii="Arial" w:eastAsia="Times New Roman" w:hAnsi="Arial" w:cs="Arial"/>
          <w:color w:val="0000FF"/>
          <w:kern w:val="0"/>
          <w:sz w:val="20"/>
          <w:szCs w:val="20"/>
          <w:lang w:eastAsia="en-GB"/>
          <w14:ligatures w14:val="none"/>
        </w:rPr>
        <w:t xml:space="preserve"> </w:t>
      </w:r>
    </w:p>
    <w:p w14:paraId="4EDFC5CB" w14:textId="405EDDAF" w:rsidR="008319B7" w:rsidRPr="005A01FF" w:rsidRDefault="008319B7" w:rsidP="007A0ADF">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8" w:name="_Ref230082384"/>
      <w:r w:rsidRPr="008319B7">
        <w:rPr>
          <w:rFonts w:ascii="Arial" w:eastAsia="Times New Roman" w:hAnsi="Arial" w:cs="Arial"/>
          <w:color w:val="0F1115"/>
          <w:kern w:val="0"/>
          <w:sz w:val="20"/>
          <w:szCs w:val="20"/>
          <w:lang w:eastAsia="en-GB"/>
          <w14:ligatures w14:val="none"/>
        </w:rPr>
        <w:lastRenderedPageBreak/>
        <w:t>Dimitriadis K, Theofilis P, Iliakis P, Pyrpyris N, Dri E, Sakalidis A, Soulaidopoulos S, Tsioufis P, Fragkoulis C, Chrysohoou C, Tsiachris D. Management of dyslipidemia in coronary artery disease: the present and the future. Coronary Artery Disease. 2024 Sep 1;35(6):516-24.</w:t>
      </w:r>
      <w:r w:rsidR="00903255">
        <w:rPr>
          <w:rFonts w:ascii="Arial" w:eastAsia="Times New Roman" w:hAnsi="Arial" w:cs="Arial"/>
          <w:color w:val="0F1115"/>
          <w:kern w:val="0"/>
          <w:sz w:val="20"/>
          <w:szCs w:val="20"/>
          <w:lang w:eastAsia="en-GB"/>
          <w14:ligatures w14:val="none"/>
        </w:rPr>
        <w:t xml:space="preserve"> </w:t>
      </w:r>
      <w:hyperlink r:id="rId35" w:history="1">
        <w:r w:rsidR="00903255" w:rsidRPr="005A01FF">
          <w:rPr>
            <w:rStyle w:val="Hyperlink"/>
            <w:rFonts w:ascii="Arial" w:eastAsia="Times New Roman" w:hAnsi="Arial" w:cs="Arial"/>
            <w:color w:val="0000FF"/>
            <w:kern w:val="0"/>
            <w:sz w:val="20"/>
            <w:szCs w:val="20"/>
            <w:lang w:eastAsia="en-GB"/>
            <w14:ligatures w14:val="none"/>
          </w:rPr>
          <w:t>https://doi.org/10.1097/MCA.0000000000001375</w:t>
        </w:r>
      </w:hyperlink>
      <w:bookmarkEnd w:id="18"/>
      <w:r w:rsidR="00903255" w:rsidRPr="005A01FF">
        <w:rPr>
          <w:rFonts w:ascii="Arial" w:eastAsia="Times New Roman" w:hAnsi="Arial" w:cs="Arial"/>
          <w:color w:val="0000FF"/>
          <w:kern w:val="0"/>
          <w:sz w:val="20"/>
          <w:szCs w:val="20"/>
          <w:lang w:eastAsia="en-GB"/>
          <w14:ligatures w14:val="none"/>
        </w:rPr>
        <w:t xml:space="preserve"> </w:t>
      </w:r>
    </w:p>
    <w:p w14:paraId="614E4D55" w14:textId="4F7041E2" w:rsidR="008319B7"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9" w:name="_Ref230082389"/>
      <w:r w:rsidRPr="008319B7">
        <w:rPr>
          <w:rFonts w:ascii="Arial" w:eastAsia="Times New Roman" w:hAnsi="Arial" w:cs="Arial"/>
          <w:color w:val="0F1115"/>
          <w:kern w:val="0"/>
          <w:sz w:val="20"/>
          <w:szCs w:val="20"/>
          <w:lang w:eastAsia="en-GB"/>
          <w14:ligatures w14:val="none"/>
        </w:rPr>
        <w:t>Ojo O, Oguntola BO, Odele RO, Nnaji FC, Ojogbane F. Clinical Characteristics, Risk Factors and Angiographic Profile of Patients with suspected coronary artery disease Undergoing Coronary Angiography in Ekiti, South-West, Nigeria. Babcock University Medical Journal. 2025 Jun 30;8(1):46-52.</w:t>
      </w:r>
      <w:r w:rsidR="00903255">
        <w:rPr>
          <w:rFonts w:ascii="Arial" w:eastAsia="Times New Roman" w:hAnsi="Arial" w:cs="Arial"/>
          <w:color w:val="0F1115"/>
          <w:kern w:val="0"/>
          <w:sz w:val="20"/>
          <w:szCs w:val="20"/>
          <w:lang w:eastAsia="en-GB"/>
          <w14:ligatures w14:val="none"/>
        </w:rPr>
        <w:t xml:space="preserve"> </w:t>
      </w:r>
      <w:hyperlink r:id="rId36" w:history="1">
        <w:r w:rsidR="00903255" w:rsidRPr="005A01FF">
          <w:rPr>
            <w:rStyle w:val="Hyperlink"/>
            <w:rFonts w:ascii="Arial" w:eastAsia="Times New Roman" w:hAnsi="Arial" w:cs="Arial"/>
            <w:color w:val="0000FF"/>
            <w:kern w:val="0"/>
            <w:sz w:val="20"/>
            <w:szCs w:val="20"/>
            <w:lang w:eastAsia="en-GB"/>
            <w14:ligatures w14:val="none"/>
          </w:rPr>
          <w:t>https://doi.org/10.38029/babcockuniv.med.j..v8i1.597</w:t>
        </w:r>
      </w:hyperlink>
      <w:bookmarkEnd w:id="19"/>
      <w:r w:rsidR="00903255" w:rsidRPr="005A01FF">
        <w:rPr>
          <w:rFonts w:ascii="Arial" w:eastAsia="Times New Roman" w:hAnsi="Arial" w:cs="Arial"/>
          <w:color w:val="0000FF"/>
          <w:kern w:val="0"/>
          <w:sz w:val="20"/>
          <w:szCs w:val="20"/>
          <w:lang w:eastAsia="en-GB"/>
          <w14:ligatures w14:val="none"/>
        </w:rPr>
        <w:t xml:space="preserve"> </w:t>
      </w:r>
    </w:p>
    <w:p w14:paraId="07EAFB76" w14:textId="71EAF018" w:rsidR="008319B7" w:rsidRPr="005A01FF" w:rsidRDefault="008319B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0" w:name="_Ref230082408"/>
      <w:r w:rsidRPr="008319B7">
        <w:rPr>
          <w:rFonts w:ascii="Arial" w:eastAsia="Times New Roman" w:hAnsi="Arial" w:cs="Arial"/>
          <w:color w:val="0F1115"/>
          <w:kern w:val="0"/>
          <w:sz w:val="20"/>
          <w:szCs w:val="20"/>
          <w:lang w:eastAsia="en-GB"/>
          <w14:ligatures w14:val="none"/>
        </w:rPr>
        <w:t>Wang X, Berry E, Hernandez-Anzaldo S, Takawale A, Kassiri Z, Fernandez-Patron C. Matrix Metalloproteinase-2 Mediates a Mechanism of Metabolic Cardioprotection Consisting of Negative Regulation of the Sterol Regulatory Element–Binding Protein-2/3-Hydroxy-3-Methylglutaryl-CoA Reductase Pathway in the Heart. Hypertension. 2015 Apr;65(4):882-8.</w:t>
      </w:r>
      <w:r w:rsidR="00903255">
        <w:rPr>
          <w:rFonts w:ascii="Arial" w:eastAsia="Times New Roman" w:hAnsi="Arial" w:cs="Arial"/>
          <w:color w:val="0F1115"/>
          <w:kern w:val="0"/>
          <w:sz w:val="20"/>
          <w:szCs w:val="20"/>
          <w:lang w:eastAsia="en-GB"/>
          <w14:ligatures w14:val="none"/>
        </w:rPr>
        <w:t xml:space="preserve"> </w:t>
      </w:r>
      <w:hyperlink r:id="rId37" w:history="1">
        <w:r w:rsidR="00903255" w:rsidRPr="005A01FF">
          <w:rPr>
            <w:rStyle w:val="Hyperlink"/>
            <w:rFonts w:ascii="Arial" w:eastAsia="Times New Roman" w:hAnsi="Arial" w:cs="Arial"/>
            <w:color w:val="0000FF"/>
            <w:kern w:val="0"/>
            <w:sz w:val="20"/>
            <w:szCs w:val="20"/>
            <w:lang w:eastAsia="en-GB"/>
            <w14:ligatures w14:val="none"/>
          </w:rPr>
          <w:t>https://doi.org/10.1161/HYPERTENSIONAHA.114.04989</w:t>
        </w:r>
      </w:hyperlink>
      <w:bookmarkEnd w:id="20"/>
      <w:r w:rsidR="00903255" w:rsidRPr="005A01FF">
        <w:rPr>
          <w:rFonts w:ascii="Arial" w:eastAsia="Times New Roman" w:hAnsi="Arial" w:cs="Arial"/>
          <w:color w:val="0000FF"/>
          <w:kern w:val="0"/>
          <w:sz w:val="20"/>
          <w:szCs w:val="20"/>
          <w:lang w:eastAsia="en-GB"/>
          <w14:ligatures w14:val="none"/>
        </w:rPr>
        <w:t xml:space="preserve"> </w:t>
      </w:r>
    </w:p>
    <w:p w14:paraId="4672BEF0" w14:textId="3165E74D" w:rsidR="006B3957" w:rsidRPr="005A01FF"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1" w:name="_Ref230082413"/>
      <w:r w:rsidRPr="006B3957">
        <w:rPr>
          <w:rFonts w:ascii="Arial" w:eastAsia="Times New Roman" w:hAnsi="Arial" w:cs="Arial"/>
          <w:color w:val="0F1115"/>
          <w:kern w:val="0"/>
          <w:sz w:val="20"/>
          <w:szCs w:val="20"/>
          <w:lang w:eastAsia="en-GB"/>
          <w14:ligatures w14:val="none"/>
        </w:rPr>
        <w:t xml:space="preserve">Galis ZS, Khatri JJ. Matrix metalloproteinases in vascular remodeling and atherogenesis: the good, the bad, and the ugly. Circulation </w:t>
      </w:r>
      <w:r w:rsidR="005A01FF">
        <w:rPr>
          <w:rFonts w:ascii="Arial" w:eastAsia="Times New Roman" w:hAnsi="Arial" w:cs="Arial"/>
          <w:color w:val="0F1115"/>
          <w:kern w:val="0"/>
          <w:sz w:val="20"/>
          <w:szCs w:val="20"/>
          <w:lang w:eastAsia="en-GB"/>
          <w14:ligatures w14:val="none"/>
        </w:rPr>
        <w:t>R</w:t>
      </w:r>
      <w:r w:rsidRPr="006B3957">
        <w:rPr>
          <w:rFonts w:ascii="Arial" w:eastAsia="Times New Roman" w:hAnsi="Arial" w:cs="Arial"/>
          <w:color w:val="0F1115"/>
          <w:kern w:val="0"/>
          <w:sz w:val="20"/>
          <w:szCs w:val="20"/>
          <w:lang w:eastAsia="en-GB"/>
          <w14:ligatures w14:val="none"/>
        </w:rPr>
        <w:t>esearch. 2002 Feb 22;90(3):251-62.</w:t>
      </w:r>
      <w:r w:rsidR="00903255">
        <w:rPr>
          <w:rFonts w:ascii="Arial" w:eastAsia="Times New Roman" w:hAnsi="Arial" w:cs="Arial"/>
          <w:color w:val="0F1115"/>
          <w:kern w:val="0"/>
          <w:sz w:val="20"/>
          <w:szCs w:val="20"/>
          <w:lang w:eastAsia="en-GB"/>
          <w14:ligatures w14:val="none"/>
        </w:rPr>
        <w:t xml:space="preserve"> </w:t>
      </w:r>
      <w:hyperlink r:id="rId38" w:history="1">
        <w:r w:rsidR="00903255" w:rsidRPr="005A01FF">
          <w:rPr>
            <w:rStyle w:val="Hyperlink"/>
            <w:rFonts w:ascii="Arial" w:eastAsia="Times New Roman" w:hAnsi="Arial" w:cs="Arial"/>
            <w:color w:val="0000FF"/>
            <w:kern w:val="0"/>
            <w:sz w:val="20"/>
            <w:szCs w:val="20"/>
            <w:lang w:eastAsia="en-GB"/>
            <w14:ligatures w14:val="none"/>
          </w:rPr>
          <w:t>https://doi.org/10.1161/res.90.3.251</w:t>
        </w:r>
      </w:hyperlink>
      <w:bookmarkEnd w:id="21"/>
      <w:r w:rsidR="00903255" w:rsidRPr="005A01FF">
        <w:rPr>
          <w:rFonts w:ascii="Arial" w:eastAsia="Times New Roman" w:hAnsi="Arial" w:cs="Arial"/>
          <w:color w:val="0000FF"/>
          <w:kern w:val="0"/>
          <w:sz w:val="20"/>
          <w:szCs w:val="20"/>
          <w:lang w:eastAsia="en-GB"/>
          <w14:ligatures w14:val="none"/>
        </w:rPr>
        <w:t xml:space="preserve"> </w:t>
      </w:r>
    </w:p>
    <w:p w14:paraId="14A5C90C" w14:textId="58591126" w:rsidR="006B3957" w:rsidRPr="005A01FF"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2" w:name="_Ref230082419"/>
      <w:r w:rsidRPr="006B3957">
        <w:rPr>
          <w:rFonts w:ascii="Arial" w:eastAsia="Times New Roman" w:hAnsi="Arial" w:cs="Arial"/>
          <w:color w:val="0F1115"/>
          <w:kern w:val="0"/>
          <w:sz w:val="20"/>
          <w:szCs w:val="20"/>
          <w:lang w:eastAsia="en-GB"/>
          <w14:ligatures w14:val="none"/>
        </w:rPr>
        <w:t xml:space="preserve">Antoniadis AP, Chatzizisis YS, Giannoglou GD. Pathogenetic mechanisms of coronary ectasia. International </w:t>
      </w:r>
      <w:r w:rsidR="005A01FF">
        <w:rPr>
          <w:rFonts w:ascii="Arial" w:eastAsia="Times New Roman" w:hAnsi="Arial" w:cs="Arial"/>
          <w:color w:val="0F1115"/>
          <w:kern w:val="0"/>
          <w:sz w:val="20"/>
          <w:szCs w:val="20"/>
          <w:lang w:eastAsia="en-GB"/>
          <w14:ligatures w14:val="none"/>
        </w:rPr>
        <w:t>J</w:t>
      </w:r>
      <w:r w:rsidRPr="006B3957">
        <w:rPr>
          <w:rFonts w:ascii="Arial" w:eastAsia="Times New Roman" w:hAnsi="Arial" w:cs="Arial"/>
          <w:color w:val="0F1115"/>
          <w:kern w:val="0"/>
          <w:sz w:val="20"/>
          <w:szCs w:val="20"/>
          <w:lang w:eastAsia="en-GB"/>
          <w14:ligatures w14:val="none"/>
        </w:rPr>
        <w:t xml:space="preserve">ournal of </w:t>
      </w:r>
      <w:r w:rsidR="005A01FF">
        <w:rPr>
          <w:rFonts w:ascii="Arial" w:eastAsia="Times New Roman" w:hAnsi="Arial" w:cs="Arial"/>
          <w:color w:val="0F1115"/>
          <w:kern w:val="0"/>
          <w:sz w:val="20"/>
          <w:szCs w:val="20"/>
          <w:lang w:eastAsia="en-GB"/>
          <w14:ligatures w14:val="none"/>
        </w:rPr>
        <w:t>C</w:t>
      </w:r>
      <w:r w:rsidRPr="006B3957">
        <w:rPr>
          <w:rFonts w:ascii="Arial" w:eastAsia="Times New Roman" w:hAnsi="Arial" w:cs="Arial"/>
          <w:color w:val="0F1115"/>
          <w:kern w:val="0"/>
          <w:sz w:val="20"/>
          <w:szCs w:val="20"/>
          <w:lang w:eastAsia="en-GB"/>
          <w14:ligatures w14:val="none"/>
        </w:rPr>
        <w:t>ardiology. 2008 Nov 28;130(3):335-43.</w:t>
      </w:r>
      <w:r w:rsidR="00903255">
        <w:rPr>
          <w:rFonts w:ascii="Arial" w:eastAsia="Times New Roman" w:hAnsi="Arial" w:cs="Arial"/>
          <w:color w:val="0F1115"/>
          <w:kern w:val="0"/>
          <w:sz w:val="20"/>
          <w:szCs w:val="20"/>
          <w:lang w:eastAsia="en-GB"/>
          <w14:ligatures w14:val="none"/>
        </w:rPr>
        <w:t xml:space="preserve"> </w:t>
      </w:r>
      <w:hyperlink r:id="rId39" w:history="1">
        <w:r w:rsidR="00903255" w:rsidRPr="005A01FF">
          <w:rPr>
            <w:rStyle w:val="Hyperlink"/>
            <w:rFonts w:ascii="Arial" w:eastAsia="Times New Roman" w:hAnsi="Arial" w:cs="Arial"/>
            <w:color w:val="0000FF"/>
            <w:kern w:val="0"/>
            <w:sz w:val="20"/>
            <w:szCs w:val="20"/>
            <w:lang w:eastAsia="en-GB"/>
            <w14:ligatures w14:val="none"/>
          </w:rPr>
          <w:t>https://doi.org/10.1016/j.ijcard.2008.05.071</w:t>
        </w:r>
      </w:hyperlink>
      <w:bookmarkEnd w:id="22"/>
      <w:r w:rsidR="00903255" w:rsidRPr="005A01FF">
        <w:rPr>
          <w:rFonts w:ascii="Arial" w:eastAsia="Times New Roman" w:hAnsi="Arial" w:cs="Arial"/>
          <w:color w:val="0000FF"/>
          <w:kern w:val="0"/>
          <w:sz w:val="20"/>
          <w:szCs w:val="20"/>
          <w:lang w:eastAsia="en-GB"/>
          <w14:ligatures w14:val="none"/>
        </w:rPr>
        <w:t xml:space="preserve"> </w:t>
      </w:r>
    </w:p>
    <w:p w14:paraId="05159939" w14:textId="1F117502" w:rsidR="006B3957"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3" w:name="_Ref230082424"/>
      <w:r w:rsidRPr="006B3957">
        <w:rPr>
          <w:rFonts w:ascii="Arial" w:eastAsia="Times New Roman" w:hAnsi="Arial" w:cs="Arial"/>
          <w:color w:val="0F1115"/>
          <w:kern w:val="0"/>
          <w:sz w:val="20"/>
          <w:szCs w:val="20"/>
          <w:lang w:eastAsia="en-GB"/>
          <w14:ligatures w14:val="none"/>
        </w:rPr>
        <w:t>Samah N, Ugusman A, Hamid AA, Sulaiman N, Aminuddin A. Role of Matrix Metalloproteinase</w:t>
      </w:r>
      <w:r w:rsidRPr="006B3957">
        <w:rPr>
          <w:rFonts w:ascii="Cambria Math" w:eastAsia="Times New Roman" w:hAnsi="Cambria Math" w:cs="Cambria Math"/>
          <w:color w:val="0F1115"/>
          <w:kern w:val="0"/>
          <w:sz w:val="20"/>
          <w:szCs w:val="20"/>
          <w:lang w:eastAsia="en-GB"/>
          <w14:ligatures w14:val="none"/>
        </w:rPr>
        <w:t>‐</w:t>
      </w:r>
      <w:r w:rsidRPr="006B3957">
        <w:rPr>
          <w:rFonts w:ascii="Arial" w:eastAsia="Times New Roman" w:hAnsi="Arial" w:cs="Arial"/>
          <w:color w:val="0F1115"/>
          <w:kern w:val="0"/>
          <w:sz w:val="20"/>
          <w:szCs w:val="20"/>
          <w:lang w:eastAsia="en-GB"/>
          <w14:ligatures w14:val="none"/>
        </w:rPr>
        <w:t>2 in the Development of Atherosclerosis among Patients with Coronary Artery Disease. Mediators of Inflammation. 2023;2023(1):9715114.</w:t>
      </w:r>
      <w:r w:rsidR="00903255">
        <w:rPr>
          <w:rFonts w:ascii="Arial" w:eastAsia="Times New Roman" w:hAnsi="Arial" w:cs="Arial"/>
          <w:color w:val="0F1115"/>
          <w:kern w:val="0"/>
          <w:sz w:val="20"/>
          <w:szCs w:val="20"/>
          <w:lang w:eastAsia="en-GB"/>
          <w14:ligatures w14:val="none"/>
        </w:rPr>
        <w:t xml:space="preserve"> </w:t>
      </w:r>
      <w:hyperlink r:id="rId40" w:history="1">
        <w:r w:rsidR="00903255" w:rsidRPr="005A01FF">
          <w:rPr>
            <w:rStyle w:val="Hyperlink"/>
            <w:rFonts w:ascii="Arial" w:eastAsia="Times New Roman" w:hAnsi="Arial" w:cs="Arial"/>
            <w:color w:val="0000FF"/>
            <w:kern w:val="0"/>
            <w:sz w:val="20"/>
            <w:szCs w:val="20"/>
            <w:lang w:eastAsia="en-GB"/>
            <w14:ligatures w14:val="none"/>
          </w:rPr>
          <w:t>https://doi.org/10.1155/2023/9715114</w:t>
        </w:r>
      </w:hyperlink>
      <w:bookmarkEnd w:id="23"/>
      <w:r w:rsidR="00903255" w:rsidRPr="005A01FF">
        <w:rPr>
          <w:rFonts w:ascii="Arial" w:eastAsia="Times New Roman" w:hAnsi="Arial" w:cs="Arial"/>
          <w:color w:val="0000FF"/>
          <w:kern w:val="0"/>
          <w:sz w:val="20"/>
          <w:szCs w:val="20"/>
          <w:lang w:eastAsia="en-GB"/>
          <w14:ligatures w14:val="none"/>
        </w:rPr>
        <w:t xml:space="preserve"> </w:t>
      </w:r>
    </w:p>
    <w:p w14:paraId="259C3743" w14:textId="75C5A26D" w:rsidR="006B3957" w:rsidRPr="005A01FF"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4" w:name="_Ref230082430"/>
      <w:r w:rsidRPr="006B3957">
        <w:rPr>
          <w:rFonts w:ascii="Arial" w:eastAsia="Times New Roman" w:hAnsi="Arial" w:cs="Arial"/>
          <w:color w:val="0F1115"/>
          <w:kern w:val="0"/>
          <w:sz w:val="20"/>
          <w:szCs w:val="20"/>
          <w:lang w:eastAsia="en-GB"/>
          <w14:ligatures w14:val="none"/>
        </w:rPr>
        <w:t>Vrachatis DA, Papathanasiou KA, Kazantzis D, Sanz-Sánchez J, Giotaki SG, Raisakis K, Kaoukis A, Kossyvakis C, Deftereos G, Reimers B, Avramides D. Inflammatory biomarkers in coronary artery ectasia: a systematic review and meta-analysis. Diagnostics. 2022 Apr 19;12(5):1026.</w:t>
      </w:r>
      <w:r w:rsidR="00903255">
        <w:rPr>
          <w:rFonts w:ascii="Arial" w:eastAsia="Times New Roman" w:hAnsi="Arial" w:cs="Arial"/>
          <w:color w:val="0F1115"/>
          <w:kern w:val="0"/>
          <w:sz w:val="20"/>
          <w:szCs w:val="20"/>
          <w:lang w:eastAsia="en-GB"/>
          <w14:ligatures w14:val="none"/>
        </w:rPr>
        <w:t xml:space="preserve"> </w:t>
      </w:r>
      <w:hyperlink r:id="rId41" w:history="1">
        <w:r w:rsidR="00903255" w:rsidRPr="005A01FF">
          <w:rPr>
            <w:rStyle w:val="Hyperlink"/>
            <w:rFonts w:ascii="Arial" w:eastAsia="Times New Roman" w:hAnsi="Arial" w:cs="Arial"/>
            <w:color w:val="0000FF"/>
            <w:kern w:val="0"/>
            <w:sz w:val="20"/>
            <w:szCs w:val="20"/>
            <w:lang w:eastAsia="en-GB"/>
            <w14:ligatures w14:val="none"/>
          </w:rPr>
          <w:t>https://doi.org/10.3390/diagnostics12051026</w:t>
        </w:r>
      </w:hyperlink>
      <w:bookmarkEnd w:id="24"/>
      <w:r w:rsidR="00903255" w:rsidRPr="005A01FF">
        <w:rPr>
          <w:rFonts w:ascii="Arial" w:eastAsia="Times New Roman" w:hAnsi="Arial" w:cs="Arial"/>
          <w:color w:val="0000FF"/>
          <w:kern w:val="0"/>
          <w:sz w:val="20"/>
          <w:szCs w:val="20"/>
          <w:lang w:eastAsia="en-GB"/>
          <w14:ligatures w14:val="none"/>
        </w:rPr>
        <w:t xml:space="preserve"> </w:t>
      </w:r>
    </w:p>
    <w:p w14:paraId="0B9A3C71" w14:textId="7FB5A841" w:rsidR="006B3957" w:rsidRPr="005A01FF"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5" w:name="_Ref230082435"/>
      <w:r w:rsidRPr="006B3957">
        <w:rPr>
          <w:rFonts w:ascii="Arial" w:eastAsia="Times New Roman" w:hAnsi="Arial" w:cs="Arial"/>
          <w:color w:val="0F1115"/>
          <w:kern w:val="0"/>
          <w:sz w:val="20"/>
          <w:szCs w:val="20"/>
          <w:lang w:eastAsia="en-GB"/>
          <w14:ligatures w14:val="none"/>
        </w:rPr>
        <w:t>Kaya H, Ertaş F, İslamoğlu Y, Kaya Z, Atılgan ZA, Çil H, Çalışkan A, Aydın M, Oylumlu M, Soydinç MS. Association between neutrophil to lymphocyte ratio and severity of coronary artery disease. Clinical and Applied Thrombosis/Hemostasis. 2014 Jan;20(1):50-</w:t>
      </w:r>
      <w:r w:rsidRPr="006B3957">
        <w:rPr>
          <w:rFonts w:ascii="Arial" w:eastAsia="Times New Roman" w:hAnsi="Arial" w:cs="Arial"/>
          <w:color w:val="0F1115"/>
          <w:kern w:val="0"/>
          <w:sz w:val="20"/>
          <w:szCs w:val="20"/>
          <w:lang w:eastAsia="en-GB"/>
          <w14:ligatures w14:val="none"/>
        </w:rPr>
        <w:t>4.</w:t>
      </w:r>
      <w:r w:rsidR="00903255">
        <w:rPr>
          <w:rFonts w:ascii="Arial" w:eastAsia="Times New Roman" w:hAnsi="Arial" w:cs="Arial"/>
          <w:color w:val="0F1115"/>
          <w:kern w:val="0"/>
          <w:sz w:val="20"/>
          <w:szCs w:val="20"/>
          <w:lang w:eastAsia="en-GB"/>
          <w14:ligatures w14:val="none"/>
        </w:rPr>
        <w:t xml:space="preserve"> </w:t>
      </w:r>
      <w:hyperlink r:id="rId42" w:history="1">
        <w:r w:rsidR="00903255" w:rsidRPr="005A01FF">
          <w:rPr>
            <w:rStyle w:val="Hyperlink"/>
            <w:rFonts w:ascii="Arial" w:eastAsia="Times New Roman" w:hAnsi="Arial" w:cs="Arial"/>
            <w:color w:val="0000FF"/>
            <w:kern w:val="0"/>
            <w:sz w:val="20"/>
            <w:szCs w:val="20"/>
            <w:lang w:eastAsia="en-GB"/>
            <w14:ligatures w14:val="none"/>
          </w:rPr>
          <w:t>https://doi.org/10.1177/1076029612452116</w:t>
        </w:r>
      </w:hyperlink>
      <w:bookmarkEnd w:id="25"/>
      <w:r w:rsidR="00903255" w:rsidRPr="005A01FF">
        <w:rPr>
          <w:rFonts w:ascii="Arial" w:eastAsia="Times New Roman" w:hAnsi="Arial" w:cs="Arial"/>
          <w:color w:val="0000FF"/>
          <w:kern w:val="0"/>
          <w:sz w:val="20"/>
          <w:szCs w:val="20"/>
          <w:lang w:eastAsia="en-GB"/>
          <w14:ligatures w14:val="none"/>
        </w:rPr>
        <w:t xml:space="preserve"> </w:t>
      </w:r>
    </w:p>
    <w:p w14:paraId="2A59F166" w14:textId="2EC147CF" w:rsidR="006B3957" w:rsidRPr="005A01FF"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6" w:name="_Ref230082442"/>
      <w:r w:rsidRPr="006B3957">
        <w:rPr>
          <w:rFonts w:ascii="Arial" w:eastAsia="Times New Roman" w:hAnsi="Arial" w:cs="Arial"/>
          <w:color w:val="0F1115"/>
          <w:kern w:val="0"/>
          <w:sz w:val="20"/>
          <w:szCs w:val="20"/>
          <w:lang w:eastAsia="en-GB"/>
          <w14:ligatures w14:val="none"/>
        </w:rPr>
        <w:t>Arbel Y, Finkelstein A, Halkin A, Birati EY, Revivo M, Zuzut M, Shevach A, Berliner S, Herz I, Keren G, Banai S. Neutrophil/lymphocyte ratio is related to the severity of coronary artery disease and clinical outcome in patients undergoing angiography. Atherosclerosis. 2012 Dec 1;225(2):456-60.</w:t>
      </w:r>
      <w:r w:rsidR="00903255">
        <w:rPr>
          <w:rFonts w:ascii="Arial" w:eastAsia="Times New Roman" w:hAnsi="Arial" w:cs="Arial"/>
          <w:color w:val="0F1115"/>
          <w:kern w:val="0"/>
          <w:sz w:val="20"/>
          <w:szCs w:val="20"/>
          <w:lang w:eastAsia="en-GB"/>
          <w14:ligatures w14:val="none"/>
        </w:rPr>
        <w:t xml:space="preserve"> </w:t>
      </w:r>
      <w:hyperlink r:id="rId43" w:history="1">
        <w:r w:rsidR="00903255" w:rsidRPr="005A01FF">
          <w:rPr>
            <w:rStyle w:val="Hyperlink"/>
            <w:rFonts w:ascii="Arial" w:eastAsia="Times New Roman" w:hAnsi="Arial" w:cs="Arial"/>
            <w:color w:val="0000FF"/>
            <w:kern w:val="0"/>
            <w:sz w:val="20"/>
            <w:szCs w:val="20"/>
            <w:lang w:eastAsia="en-GB"/>
            <w14:ligatures w14:val="none"/>
          </w:rPr>
          <w:t>https://doi.org/10.1016/j.atherosclerosis.2012.09.009</w:t>
        </w:r>
      </w:hyperlink>
      <w:bookmarkEnd w:id="26"/>
      <w:r w:rsidR="00903255" w:rsidRPr="005A01FF">
        <w:rPr>
          <w:rFonts w:ascii="Arial" w:eastAsia="Times New Roman" w:hAnsi="Arial" w:cs="Arial"/>
          <w:color w:val="0000FF"/>
          <w:kern w:val="0"/>
          <w:sz w:val="20"/>
          <w:szCs w:val="20"/>
          <w:lang w:eastAsia="en-GB"/>
          <w14:ligatures w14:val="none"/>
        </w:rPr>
        <w:t xml:space="preserve"> </w:t>
      </w:r>
    </w:p>
    <w:p w14:paraId="46AFC5E6" w14:textId="4D8AAEC3" w:rsidR="006B3957"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7" w:name="_Ref230082450"/>
      <w:r w:rsidRPr="006B3957">
        <w:rPr>
          <w:rFonts w:ascii="Arial" w:eastAsia="Times New Roman" w:hAnsi="Arial" w:cs="Arial"/>
          <w:color w:val="0F1115"/>
          <w:kern w:val="0"/>
          <w:sz w:val="20"/>
          <w:szCs w:val="20"/>
          <w:lang w:eastAsia="en-GB"/>
          <w14:ligatures w14:val="none"/>
        </w:rPr>
        <w:t>Kurtul A, Ornek E. Platelet to lymphocyte ratio in cardiovascular diseases: a systematic review. Angiology. 2019 Oct;70(9):802-18.</w:t>
      </w:r>
      <w:r w:rsidR="00903255">
        <w:rPr>
          <w:rFonts w:ascii="Arial" w:eastAsia="Times New Roman" w:hAnsi="Arial" w:cs="Arial"/>
          <w:color w:val="0F1115"/>
          <w:kern w:val="0"/>
          <w:sz w:val="20"/>
          <w:szCs w:val="20"/>
          <w:lang w:eastAsia="en-GB"/>
          <w14:ligatures w14:val="none"/>
        </w:rPr>
        <w:t xml:space="preserve"> </w:t>
      </w:r>
      <w:hyperlink r:id="rId44" w:history="1">
        <w:r w:rsidR="00903255" w:rsidRPr="005A01FF">
          <w:rPr>
            <w:rStyle w:val="Hyperlink"/>
            <w:rFonts w:ascii="Arial" w:eastAsia="Times New Roman" w:hAnsi="Arial" w:cs="Arial"/>
            <w:color w:val="0000FF"/>
            <w:kern w:val="0"/>
            <w:sz w:val="20"/>
            <w:szCs w:val="20"/>
            <w:lang w:eastAsia="en-GB"/>
            <w14:ligatures w14:val="none"/>
          </w:rPr>
          <w:t>https://doi.org/10.1177/0003319719845186</w:t>
        </w:r>
      </w:hyperlink>
      <w:bookmarkEnd w:id="27"/>
      <w:r w:rsidR="00903255" w:rsidRPr="005A01FF">
        <w:rPr>
          <w:rFonts w:ascii="Arial" w:eastAsia="Times New Roman" w:hAnsi="Arial" w:cs="Arial"/>
          <w:color w:val="0000FF"/>
          <w:kern w:val="0"/>
          <w:sz w:val="20"/>
          <w:szCs w:val="20"/>
          <w:lang w:eastAsia="en-GB"/>
          <w14:ligatures w14:val="none"/>
        </w:rPr>
        <w:t xml:space="preserve"> </w:t>
      </w:r>
    </w:p>
    <w:p w14:paraId="7F1E2D2D" w14:textId="009D7C81" w:rsidR="006B3957"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8" w:name="_Ref230082456"/>
      <w:r w:rsidRPr="006B3957">
        <w:rPr>
          <w:rFonts w:ascii="Arial" w:eastAsia="Times New Roman" w:hAnsi="Arial" w:cs="Arial"/>
          <w:color w:val="0F1115"/>
          <w:kern w:val="0"/>
          <w:sz w:val="20"/>
          <w:szCs w:val="20"/>
          <w:lang w:eastAsia="en-GB"/>
          <w14:ligatures w14:val="none"/>
        </w:rPr>
        <w:t xml:space="preserve">Danese E, Lippi G, Montagnana M. Red blood cell distribution width and cardiovascular diseases. Journal of </w:t>
      </w:r>
      <w:r w:rsidR="005A01FF">
        <w:rPr>
          <w:rFonts w:ascii="Arial" w:eastAsia="Times New Roman" w:hAnsi="Arial" w:cs="Arial"/>
          <w:color w:val="0F1115"/>
          <w:kern w:val="0"/>
          <w:sz w:val="20"/>
          <w:szCs w:val="20"/>
          <w:lang w:eastAsia="en-GB"/>
          <w14:ligatures w14:val="none"/>
        </w:rPr>
        <w:t>Thoracic Disease</w:t>
      </w:r>
      <w:r w:rsidRPr="006B3957">
        <w:rPr>
          <w:rFonts w:ascii="Arial" w:eastAsia="Times New Roman" w:hAnsi="Arial" w:cs="Arial"/>
          <w:color w:val="0F1115"/>
          <w:kern w:val="0"/>
          <w:sz w:val="20"/>
          <w:szCs w:val="20"/>
          <w:lang w:eastAsia="en-GB"/>
          <w14:ligatures w14:val="none"/>
        </w:rPr>
        <w:t>. 2015 Oct;7(10):E402.</w:t>
      </w:r>
      <w:bookmarkEnd w:id="28"/>
      <w:r w:rsidR="00903255">
        <w:rPr>
          <w:rFonts w:ascii="Arial" w:eastAsia="Times New Roman" w:hAnsi="Arial" w:cs="Arial"/>
          <w:color w:val="0F1115"/>
          <w:kern w:val="0"/>
          <w:sz w:val="20"/>
          <w:szCs w:val="20"/>
          <w:lang w:eastAsia="en-GB"/>
          <w14:ligatures w14:val="none"/>
        </w:rPr>
        <w:t xml:space="preserve"> </w:t>
      </w:r>
    </w:p>
    <w:p w14:paraId="11CDD0F6" w14:textId="6D1CF0DB" w:rsidR="006B3957" w:rsidRDefault="006B3957" w:rsidP="00B64204">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9" w:name="_Ref230082461"/>
      <w:r w:rsidRPr="006B3957">
        <w:rPr>
          <w:rFonts w:ascii="Arial" w:eastAsia="Times New Roman" w:hAnsi="Arial" w:cs="Arial"/>
          <w:color w:val="0F1115"/>
          <w:kern w:val="0"/>
          <w:sz w:val="20"/>
          <w:szCs w:val="20"/>
          <w:lang w:eastAsia="en-GB"/>
          <w14:ligatures w14:val="none"/>
        </w:rPr>
        <w:t>Namazi G, Beygi SH, Vahidi MH, Asa P, Bahmani F, Mafi A, Raygan F. Relationship between red cell distribution width and oxidative stress indexes in patients with coronary artery disease. Reports of Biochemistry &amp; Molecular Biology. 2023 Jul;12(2):241.</w:t>
      </w:r>
      <w:r w:rsidR="004D156E">
        <w:rPr>
          <w:rFonts w:ascii="Arial" w:eastAsia="Times New Roman" w:hAnsi="Arial" w:cs="Arial"/>
          <w:color w:val="0F1115"/>
          <w:kern w:val="0"/>
          <w:sz w:val="20"/>
          <w:szCs w:val="20"/>
          <w:lang w:eastAsia="en-GB"/>
          <w14:ligatures w14:val="none"/>
        </w:rPr>
        <w:t xml:space="preserve"> </w:t>
      </w:r>
      <w:hyperlink r:id="rId45" w:history="1">
        <w:r w:rsidR="004D156E" w:rsidRPr="005A01FF">
          <w:rPr>
            <w:rStyle w:val="Hyperlink"/>
            <w:rFonts w:ascii="Arial" w:eastAsia="Times New Roman" w:hAnsi="Arial" w:cs="Arial"/>
            <w:color w:val="0000FF"/>
            <w:kern w:val="0"/>
            <w:sz w:val="20"/>
            <w:szCs w:val="20"/>
            <w:lang w:eastAsia="en-GB"/>
            <w14:ligatures w14:val="none"/>
          </w:rPr>
          <w:t>https://doi.org/10.61186/rbmb.12.2.241</w:t>
        </w:r>
      </w:hyperlink>
      <w:bookmarkEnd w:id="29"/>
      <w:r w:rsidR="004D156E" w:rsidRPr="005A01FF">
        <w:rPr>
          <w:rFonts w:ascii="Arial" w:eastAsia="Times New Roman" w:hAnsi="Arial" w:cs="Arial"/>
          <w:color w:val="0000FF"/>
          <w:kern w:val="0"/>
          <w:sz w:val="20"/>
          <w:szCs w:val="20"/>
          <w:lang w:eastAsia="en-GB"/>
          <w14:ligatures w14:val="none"/>
        </w:rPr>
        <w:t xml:space="preserve"> </w:t>
      </w:r>
    </w:p>
    <w:p w14:paraId="603686D7" w14:textId="6B23D530" w:rsidR="006B3957" w:rsidRDefault="006B3957" w:rsidP="007A0ADF">
      <w:pPr>
        <w:pStyle w:val="ListParagraph"/>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30" w:name="_Ref230082467"/>
      <w:r w:rsidRPr="006B3957">
        <w:rPr>
          <w:rFonts w:ascii="Arial" w:eastAsia="Times New Roman" w:hAnsi="Arial" w:cs="Arial"/>
          <w:color w:val="0F1115"/>
          <w:kern w:val="0"/>
          <w:sz w:val="20"/>
          <w:szCs w:val="20"/>
          <w:lang w:eastAsia="en-GB"/>
          <w14:ligatures w14:val="none"/>
        </w:rPr>
        <w:t>Jiang L, Wei W, Kang S, Li XL, Luo Y. Insights into lipid metabolism and immune-inflammatory responses in the pathogenesis of coronary artery ectasia. Frontiers in Physiology. 2023 Jan 25;14:1096991.</w:t>
      </w:r>
      <w:r w:rsidR="004D156E">
        <w:rPr>
          <w:rFonts w:ascii="Arial" w:eastAsia="Times New Roman" w:hAnsi="Arial" w:cs="Arial"/>
          <w:color w:val="0F1115"/>
          <w:kern w:val="0"/>
          <w:sz w:val="20"/>
          <w:szCs w:val="20"/>
          <w:lang w:eastAsia="en-GB"/>
          <w14:ligatures w14:val="none"/>
        </w:rPr>
        <w:t xml:space="preserve"> </w:t>
      </w:r>
      <w:hyperlink r:id="rId46" w:history="1">
        <w:r w:rsidR="004D156E" w:rsidRPr="005A01FF">
          <w:rPr>
            <w:rStyle w:val="Hyperlink"/>
            <w:rFonts w:ascii="Arial" w:eastAsia="Times New Roman" w:hAnsi="Arial" w:cs="Arial"/>
            <w:color w:val="0000FF"/>
            <w:kern w:val="0"/>
            <w:sz w:val="20"/>
            <w:szCs w:val="20"/>
            <w:lang w:eastAsia="en-GB"/>
            <w14:ligatures w14:val="none"/>
          </w:rPr>
          <w:t>https://doi.org/10.3389/fphys.2023.1096991</w:t>
        </w:r>
      </w:hyperlink>
      <w:bookmarkEnd w:id="30"/>
      <w:r w:rsidR="004D156E" w:rsidRPr="005A01FF">
        <w:rPr>
          <w:rFonts w:ascii="Arial" w:eastAsia="Times New Roman" w:hAnsi="Arial" w:cs="Arial"/>
          <w:color w:val="0000FF"/>
          <w:kern w:val="0"/>
          <w:sz w:val="20"/>
          <w:szCs w:val="20"/>
          <w:lang w:eastAsia="en-GB"/>
          <w14:ligatures w14:val="none"/>
        </w:rPr>
        <w:t xml:space="preserve"> </w:t>
      </w:r>
    </w:p>
    <w:p w14:paraId="490DDE4D" w14:textId="16B86166" w:rsidR="00FE1673" w:rsidRPr="005A01FF" w:rsidRDefault="006B3957" w:rsidP="006B3957">
      <w:pPr>
        <w:pStyle w:val="ListParagraph"/>
        <w:numPr>
          <w:ilvl w:val="0"/>
          <w:numId w:val="1"/>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31" w:name="_Ref230082472"/>
      <w:r w:rsidRPr="006B3957">
        <w:rPr>
          <w:rFonts w:ascii="Arial" w:eastAsia="Times New Roman" w:hAnsi="Arial" w:cs="Arial"/>
          <w:color w:val="0F1115"/>
          <w:kern w:val="0"/>
          <w:sz w:val="20"/>
          <w:szCs w:val="20"/>
          <w:lang w:eastAsia="en-GB"/>
          <w14:ligatures w14:val="none"/>
        </w:rPr>
        <w:t>Ozturk S, Yetkin E, Waltenberger J. Molecular and cellular insights into the pathogenesis of coronary artery ectasia. Cardiovascular Pathology. 2018 Jul 1;35:37-47.</w:t>
      </w:r>
      <w:r w:rsidR="004D156E">
        <w:rPr>
          <w:rFonts w:ascii="Arial" w:eastAsia="Times New Roman" w:hAnsi="Arial" w:cs="Arial"/>
          <w:color w:val="0F1115"/>
          <w:kern w:val="0"/>
          <w:sz w:val="20"/>
          <w:szCs w:val="20"/>
          <w:lang w:eastAsia="en-GB"/>
          <w14:ligatures w14:val="none"/>
        </w:rPr>
        <w:t xml:space="preserve"> </w:t>
      </w:r>
      <w:hyperlink r:id="rId47" w:history="1">
        <w:r w:rsidR="004D156E" w:rsidRPr="005A01FF">
          <w:rPr>
            <w:rStyle w:val="Hyperlink"/>
            <w:rFonts w:ascii="Arial" w:eastAsia="Times New Roman" w:hAnsi="Arial" w:cs="Arial"/>
            <w:color w:val="0000FF"/>
            <w:kern w:val="0"/>
            <w:sz w:val="20"/>
            <w:szCs w:val="20"/>
            <w:lang w:eastAsia="en-GB"/>
            <w14:ligatures w14:val="none"/>
          </w:rPr>
          <w:t>https://doi.org/10.1016/j.carpath.2018.04.005</w:t>
        </w:r>
      </w:hyperlink>
      <w:bookmarkEnd w:id="31"/>
      <w:r w:rsidR="004D156E" w:rsidRPr="005A01FF">
        <w:rPr>
          <w:rFonts w:ascii="Arial" w:eastAsia="Times New Roman" w:hAnsi="Arial" w:cs="Arial"/>
          <w:color w:val="0000FF"/>
          <w:kern w:val="0"/>
          <w:sz w:val="20"/>
          <w:szCs w:val="20"/>
          <w:lang w:eastAsia="en-GB"/>
          <w14:ligatures w14:val="none"/>
        </w:rPr>
        <w:t xml:space="preserve"> </w:t>
      </w:r>
    </w:p>
    <w:sectPr w:rsidR="00FE1673" w:rsidRPr="005A01FF" w:rsidSect="00962F78">
      <w:type w:val="continuous"/>
      <w:pgSz w:w="11906" w:h="16838"/>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54BBA" w14:textId="77777777" w:rsidR="005546D5" w:rsidRDefault="005546D5" w:rsidP="004F5489">
      <w:pPr>
        <w:spacing w:after="0" w:line="240" w:lineRule="auto"/>
      </w:pPr>
      <w:r>
        <w:separator/>
      </w:r>
    </w:p>
  </w:endnote>
  <w:endnote w:type="continuationSeparator" w:id="0">
    <w:p w14:paraId="7A99F57A" w14:textId="77777777" w:rsidR="005546D5" w:rsidRDefault="005546D5" w:rsidP="004F5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FF"/>
      </w:rPr>
      <w:id w:val="1488669904"/>
      <w:docPartObj>
        <w:docPartGallery w:val="Page Numbers (Bottom of Page)"/>
        <w:docPartUnique/>
      </w:docPartObj>
    </w:sdtPr>
    <w:sdtEndPr>
      <w:rPr>
        <w:noProof/>
      </w:rPr>
    </w:sdtEndPr>
    <w:sdtContent>
      <w:p w14:paraId="1EA881D8" w14:textId="6B019125" w:rsidR="001220A7" w:rsidRPr="001220A7" w:rsidRDefault="001220A7">
        <w:pPr>
          <w:pStyle w:val="Footer"/>
          <w:jc w:val="right"/>
          <w:rPr>
            <w:rFonts w:ascii="Arial" w:hAnsi="Arial" w:cs="Arial"/>
            <w:color w:val="0000FF"/>
          </w:rPr>
        </w:pPr>
        <w:r w:rsidRPr="001220A7">
          <w:rPr>
            <w:rFonts w:ascii="Arial" w:hAnsi="Arial" w:cs="Arial"/>
            <w:color w:val="0000FF"/>
          </w:rPr>
          <w:fldChar w:fldCharType="begin"/>
        </w:r>
        <w:r w:rsidRPr="001220A7">
          <w:rPr>
            <w:rFonts w:ascii="Arial" w:hAnsi="Arial" w:cs="Arial"/>
            <w:color w:val="0000FF"/>
          </w:rPr>
          <w:instrText xml:space="preserve"> PAGE   \* MERGEFORMAT </w:instrText>
        </w:r>
        <w:r w:rsidRPr="001220A7">
          <w:rPr>
            <w:rFonts w:ascii="Arial" w:hAnsi="Arial" w:cs="Arial"/>
            <w:color w:val="0000FF"/>
          </w:rPr>
          <w:fldChar w:fldCharType="separate"/>
        </w:r>
        <w:r w:rsidRPr="001220A7">
          <w:rPr>
            <w:rFonts w:ascii="Arial" w:hAnsi="Arial" w:cs="Arial"/>
            <w:noProof/>
            <w:color w:val="0000FF"/>
          </w:rPr>
          <w:t>2</w:t>
        </w:r>
        <w:r w:rsidRPr="001220A7">
          <w:rPr>
            <w:rFonts w:ascii="Arial" w:hAnsi="Arial" w:cs="Arial"/>
            <w:noProof/>
            <w:color w:val="0000FF"/>
          </w:rPr>
          <w:fldChar w:fldCharType="end"/>
        </w:r>
      </w:p>
    </w:sdtContent>
  </w:sdt>
  <w:p w14:paraId="2F122E4E" w14:textId="77777777" w:rsidR="001220A7" w:rsidRDefault="00122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4695" w14:textId="77777777" w:rsidR="004F5489" w:rsidRDefault="004F5489" w:rsidP="004F5489">
    <w:pPr>
      <w:autoSpaceDE w:val="0"/>
      <w:autoSpaceDN w:val="0"/>
      <w:adjustRightInd w:val="0"/>
      <w:spacing w:after="0" w:line="240" w:lineRule="auto"/>
      <w:rPr>
        <w:rFonts w:ascii="Arial" w:eastAsia="SimSun" w:hAnsi="Arial" w:cs="Arial"/>
        <w:bCs/>
        <w:color w:val="000000"/>
        <w:sz w:val="16"/>
        <w:szCs w:val="16"/>
      </w:rPr>
    </w:pPr>
  </w:p>
  <w:p w14:paraId="61B4354D" w14:textId="763046BA" w:rsidR="004F5489" w:rsidRPr="00BC04BD" w:rsidRDefault="004F5489" w:rsidP="004F5489">
    <w:pPr>
      <w:autoSpaceDE w:val="0"/>
      <w:autoSpaceDN w:val="0"/>
      <w:adjustRightInd w:val="0"/>
      <w:spacing w:after="0" w:line="240" w:lineRule="auto"/>
      <w:rPr>
        <w:rFonts w:ascii="Arial" w:eastAsia="SimSun" w:hAnsi="Arial" w:cs="Arial"/>
        <w:bCs/>
        <w:color w:val="000000"/>
        <w:sz w:val="16"/>
        <w:szCs w:val="16"/>
      </w:rPr>
    </w:pPr>
    <w:r w:rsidRPr="00BC04BD">
      <w:rPr>
        <w:rFonts w:ascii="Arial" w:eastAsia="SimSun" w:hAnsi="Arial" w:cs="Arial"/>
        <w:bCs/>
        <w:color w:val="000000"/>
        <w:sz w:val="16"/>
        <w:szCs w:val="16"/>
      </w:rPr>
      <w:t>Correspondence:</w:t>
    </w:r>
  </w:p>
  <w:p w14:paraId="0F836FE1" w14:textId="77777777" w:rsidR="004F5489" w:rsidRPr="004F5489" w:rsidRDefault="004F5489" w:rsidP="004F5489">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4F5489">
      <w:rPr>
        <w:rFonts w:ascii="Arial" w:eastAsia="Times New Roman" w:hAnsi="Arial" w:cs="Arial"/>
        <w:iCs/>
        <w:color w:val="000000"/>
        <w:sz w:val="16"/>
        <w:szCs w:val="16"/>
        <w:shd w:val="clear" w:color="auto" w:fill="FFFFFF"/>
      </w:rPr>
      <w:t>Jalil Nour I</w:t>
    </w:r>
  </w:p>
  <w:p w14:paraId="4067C22F" w14:textId="77777777" w:rsidR="004F5489" w:rsidRPr="004F5489" w:rsidRDefault="004F5489" w:rsidP="004F5489">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4F5489">
      <w:rPr>
        <w:rFonts w:ascii="Arial" w:eastAsia="Times New Roman" w:hAnsi="Arial" w:cs="Arial"/>
        <w:iCs/>
        <w:color w:val="000000"/>
        <w:sz w:val="16"/>
        <w:szCs w:val="16"/>
        <w:shd w:val="clear" w:color="auto" w:fill="FFFFFF"/>
      </w:rPr>
      <w:t>Department of Chemistry and Biochemistry, College of Medicine</w:t>
    </w:r>
  </w:p>
  <w:p w14:paraId="67916ECC" w14:textId="77777777" w:rsidR="004F5489" w:rsidRPr="004F5489" w:rsidRDefault="004F5489" w:rsidP="004F5489">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4F5489">
      <w:rPr>
        <w:rFonts w:ascii="Arial" w:eastAsia="Times New Roman" w:hAnsi="Arial" w:cs="Arial"/>
        <w:iCs/>
        <w:color w:val="000000"/>
        <w:sz w:val="16"/>
        <w:szCs w:val="16"/>
        <w:shd w:val="clear" w:color="auto" w:fill="FFFFFF"/>
      </w:rPr>
      <w:t>Al-Nahrain University, Baghdad</w:t>
    </w:r>
  </w:p>
  <w:p w14:paraId="51546D43" w14:textId="77777777" w:rsidR="004F5489" w:rsidRPr="004F5489" w:rsidRDefault="004F5489" w:rsidP="004F5489">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4F5489">
      <w:rPr>
        <w:rFonts w:ascii="Arial" w:eastAsia="Times New Roman" w:hAnsi="Arial" w:cs="Arial"/>
        <w:iCs/>
        <w:color w:val="000000"/>
        <w:sz w:val="16"/>
        <w:szCs w:val="16"/>
        <w:shd w:val="clear" w:color="auto" w:fill="FFFFFF"/>
      </w:rPr>
      <w:t>Iraq</w:t>
    </w:r>
    <w:r w:rsidRPr="004F5489">
      <w:rPr>
        <w:rFonts w:ascii="Arial" w:eastAsia="Times New Roman" w:hAnsi="Arial" w:cs="Arial"/>
        <w:iCs/>
        <w:color w:val="000000"/>
        <w:sz w:val="16"/>
        <w:szCs w:val="16"/>
        <w:shd w:val="clear" w:color="auto" w:fill="FFFFFF"/>
      </w:rPr>
      <w:br/>
      <w:t xml:space="preserve">+9647730017982, </w:t>
    </w:r>
    <w:hyperlink r:id="rId1" w:history="1">
      <w:r w:rsidRPr="004F5489">
        <w:rPr>
          <w:rStyle w:val="Hyperlink"/>
          <w:rFonts w:ascii="Arial" w:eastAsia="Times New Roman" w:hAnsi="Arial" w:cs="Arial"/>
          <w:iCs/>
          <w:color w:val="0000FF"/>
          <w:sz w:val="16"/>
          <w:szCs w:val="16"/>
          <w:shd w:val="clear" w:color="auto" w:fill="FFFFFF"/>
        </w:rPr>
        <w:t>nour.ibrahim.med25@nahrainuniv.edu.iq</w:t>
      </w:r>
    </w:hyperlink>
  </w:p>
  <w:p w14:paraId="68416F4A" w14:textId="5BD03B11" w:rsidR="004F5489" w:rsidRPr="00EF1A04" w:rsidRDefault="004F5489" w:rsidP="004F5489">
    <w:pPr>
      <w:tabs>
        <w:tab w:val="center" w:pos="4680"/>
        <w:tab w:val="right" w:pos="9360"/>
      </w:tabs>
      <w:autoSpaceDE w:val="0"/>
      <w:autoSpaceDN w:val="0"/>
      <w:adjustRightInd w:val="0"/>
      <w:spacing w:after="0" w:line="240" w:lineRule="auto"/>
      <w:rPr>
        <w:rFonts w:ascii="Arial" w:eastAsia="Times New Roman" w:hAnsi="Arial" w:cs="Arial"/>
        <w:color w:val="0000FF"/>
        <w:sz w:val="12"/>
        <w:szCs w:val="12"/>
        <w:lang w:val="pt-BR"/>
      </w:rPr>
    </w:pPr>
  </w:p>
  <w:p w14:paraId="315765F7" w14:textId="77777777" w:rsidR="004F5489" w:rsidRPr="00BC04BD" w:rsidRDefault="004F5489" w:rsidP="004F5489">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 BUMJ. 2026 Open Access This article is distributed under the terms of the Creative Commons Attribution 4.0 International License</w:t>
    </w:r>
  </w:p>
  <w:p w14:paraId="313328CA" w14:textId="376D4657" w:rsidR="004F5489" w:rsidRPr="004F5489" w:rsidRDefault="004F5489" w:rsidP="004F5489">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w:t>
    </w:r>
    <w:hyperlink r:id="rId2" w:history="1">
      <w:r w:rsidRPr="00BC04BD">
        <w:rPr>
          <w:rFonts w:ascii="Arial" w:eastAsia="Times New Roman" w:hAnsi="Arial" w:cs="Arial"/>
          <w:color w:val="0000FF"/>
          <w:sz w:val="12"/>
          <w:szCs w:val="12"/>
          <w:u w:val="single"/>
        </w:rPr>
        <w:t>http://creativecommons.org/licenses/by/4.0/</w:t>
      </w:r>
    </w:hyperlink>
    <w:r w:rsidRPr="00BC04BD">
      <w:rPr>
        <w:rFonts w:ascii="Arial" w:eastAsia="Times New Roman"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BC04BD">
        <w:rPr>
          <w:rFonts w:ascii="Arial" w:eastAsia="Times New Roman" w:hAnsi="Arial" w:cs="Arial"/>
          <w:color w:val="0000FF"/>
          <w:sz w:val="12"/>
          <w:szCs w:val="12"/>
          <w:u w:val="single"/>
        </w:rPr>
        <w:t>http://creativecommons.org/publicdomain/zero/1.0/</w:t>
      </w:r>
    </w:hyperlink>
    <w:r w:rsidRPr="00BC04BD">
      <w:rPr>
        <w:rFonts w:ascii="Arial" w:eastAsia="Times New Roman"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A5A7F" w14:textId="77777777" w:rsidR="005546D5" w:rsidRDefault="005546D5" w:rsidP="004F5489">
      <w:pPr>
        <w:spacing w:after="0" w:line="240" w:lineRule="auto"/>
      </w:pPr>
      <w:r>
        <w:separator/>
      </w:r>
    </w:p>
  </w:footnote>
  <w:footnote w:type="continuationSeparator" w:id="0">
    <w:p w14:paraId="37796F1F" w14:textId="77777777" w:rsidR="005546D5" w:rsidRDefault="005546D5" w:rsidP="004F5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A9EB" w14:textId="7FDA08E3" w:rsidR="004F5489" w:rsidRPr="004F5489" w:rsidRDefault="004F5489" w:rsidP="004F5489">
    <w:pPr>
      <w:pStyle w:val="Header"/>
      <w:rPr>
        <w:color w:val="0000FF"/>
      </w:rPr>
    </w:pPr>
    <w:r w:rsidRPr="004F5489">
      <w:rPr>
        <w:rFonts w:ascii="Arial" w:hAnsi="Arial" w:cs="Arial"/>
        <w:bCs/>
        <w:color w:val="0000FF"/>
        <w:sz w:val="20"/>
        <w:szCs w:val="20"/>
      </w:rPr>
      <w:t xml:space="preserve">Jalil </w:t>
    </w:r>
    <w:r w:rsidRPr="004F5489">
      <w:rPr>
        <w:rFonts w:ascii="Arial" w:hAnsi="Arial" w:cs="Arial"/>
        <w:i/>
        <w:color w:val="0000FF"/>
        <w:sz w:val="20"/>
        <w:szCs w:val="20"/>
      </w:rPr>
      <w:t xml:space="preserve">et. al., </w:t>
    </w:r>
    <w:r w:rsidRPr="004F5489">
      <w:rPr>
        <w:rFonts w:ascii="Arial" w:hAnsi="Arial" w:cs="Arial"/>
        <w:color w:val="0000FF"/>
        <w:sz w:val="20"/>
        <w:szCs w:val="20"/>
      </w:rPr>
      <w:t>Babcock Univ. Med. J.2026 9(</w:t>
    </w:r>
    <w:r w:rsidR="00E2707B">
      <w:rPr>
        <w:rFonts w:ascii="Arial" w:hAnsi="Arial" w:cs="Arial"/>
        <w:color w:val="0000FF"/>
        <w:sz w:val="20"/>
        <w:szCs w:val="20"/>
      </w:rPr>
      <w:t>S1</w:t>
    </w:r>
    <w:r w:rsidRPr="004F5489">
      <w:rPr>
        <w:rFonts w:ascii="Arial" w:hAnsi="Arial" w:cs="Arial"/>
        <w:color w:val="0000FF"/>
        <w:sz w:val="20"/>
        <w:szCs w:val="20"/>
      </w:rPr>
      <w:t>)</w:t>
    </w:r>
    <w:r w:rsidR="00E2707B">
      <w:rPr>
        <w:rFonts w:ascii="Arial" w:hAnsi="Arial" w:cs="Arial"/>
        <w:color w:val="0000FF"/>
        <w:sz w:val="20"/>
        <w:szCs w:val="20"/>
      </w:rPr>
      <w:t>:35-46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0ACB" w14:textId="14C5B92C" w:rsidR="004F5489" w:rsidRPr="00384349" w:rsidRDefault="004F5489" w:rsidP="004F5489">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r>
      <w:rPr>
        <w:rFonts w:ascii="Arial" w:hAnsi="Arial" w:cs="Arial"/>
        <w:bCs/>
        <w:sz w:val="20"/>
        <w:szCs w:val="20"/>
      </w:rPr>
      <w:t xml:space="preserve">Jalil </w:t>
    </w:r>
    <w:r w:rsidRPr="00384349">
      <w:rPr>
        <w:rFonts w:ascii="Arial" w:hAnsi="Arial" w:cs="Arial"/>
        <w:i/>
        <w:sz w:val="20"/>
        <w:szCs w:val="20"/>
      </w:rPr>
      <w:t>et</w:t>
    </w:r>
    <w:r>
      <w:rPr>
        <w:rFonts w:ascii="Arial" w:hAnsi="Arial" w:cs="Arial"/>
        <w:i/>
        <w:sz w:val="20"/>
        <w:szCs w:val="20"/>
      </w:rPr>
      <w:t>.</w:t>
    </w:r>
    <w:r w:rsidRPr="00384349">
      <w:rPr>
        <w:rFonts w:ascii="Arial" w:hAnsi="Arial" w:cs="Arial"/>
        <w:i/>
        <w:sz w:val="20"/>
        <w:szCs w:val="20"/>
      </w:rPr>
      <w:t xml:space="preserve"> al., </w:t>
    </w:r>
    <w:r w:rsidRPr="00384349">
      <w:rPr>
        <w:rFonts w:ascii="Arial" w:hAnsi="Arial" w:cs="Arial"/>
        <w:sz w:val="20"/>
        <w:szCs w:val="20"/>
      </w:rPr>
      <w:t>Babcock Univ. Med. J.2026 9(</w:t>
    </w:r>
    <w:r w:rsidR="00465DCC">
      <w:rPr>
        <w:rFonts w:ascii="Arial" w:hAnsi="Arial" w:cs="Arial"/>
        <w:sz w:val="20"/>
        <w:szCs w:val="20"/>
      </w:rPr>
      <w:t>S1</w:t>
    </w:r>
    <w:r w:rsidRPr="00384349">
      <w:rPr>
        <w:rFonts w:ascii="Arial" w:hAnsi="Arial" w:cs="Arial"/>
        <w:sz w:val="20"/>
        <w:szCs w:val="20"/>
      </w:rPr>
      <w:t>)</w:t>
    </w:r>
    <w:bookmarkEnd w:id="0"/>
    <w:bookmarkEnd w:id="1"/>
    <w:bookmarkEnd w:id="2"/>
    <w:r w:rsidR="00465DCC">
      <w:rPr>
        <w:rFonts w:ascii="Arial" w:hAnsi="Arial" w:cs="Arial"/>
        <w:sz w:val="20"/>
        <w:szCs w:val="20"/>
      </w:rPr>
      <w:t>:35-46</w:t>
    </w:r>
    <w:r>
      <w:rPr>
        <w:rFonts w:ascii="Arial" w:hAnsi="Arial" w:cs="Arial"/>
        <w:sz w:val="20"/>
        <w:szCs w:val="20"/>
      </w:rPr>
      <w:t xml:space="preserve">                  </w:t>
    </w:r>
    <w:r w:rsidRPr="00384349">
      <w:rPr>
        <w:rFonts w:ascii="Arial" w:hAnsi="Arial" w:cs="Arial"/>
        <w:sz w:val="20"/>
        <w:szCs w:val="20"/>
      </w:rPr>
      <w:t xml:space="preserve">                          </w:t>
    </w:r>
    <w:r w:rsidRPr="00384349">
      <w:rPr>
        <w:rFonts w:ascii="Arial" w:hAnsi="Arial" w:cs="Arial"/>
        <w:noProof/>
        <w:sz w:val="20"/>
        <w:szCs w:val="20"/>
      </w:rPr>
      <w:drawing>
        <wp:inline distT="0" distB="0" distL="0" distR="0" wp14:anchorId="61767A78" wp14:editId="19453380">
          <wp:extent cx="1295400" cy="438150"/>
          <wp:effectExtent l="0" t="0" r="0" b="0"/>
          <wp:docPr id="1157412768"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097ED322" w14:textId="2F8EC872" w:rsidR="004F5489" w:rsidRPr="00384349" w:rsidRDefault="00465DCC" w:rsidP="004F5489">
    <w:pPr>
      <w:pStyle w:val="Header"/>
      <w:rPr>
        <w:rFonts w:ascii="Arial" w:hAnsi="Arial" w:cs="Arial"/>
        <w:sz w:val="20"/>
        <w:szCs w:val="20"/>
      </w:rPr>
    </w:pPr>
    <w:hyperlink r:id="rId2" w:history="1">
      <w:r w:rsidRPr="00465DCC">
        <w:rPr>
          <w:rStyle w:val="Hyperlink"/>
          <w:rFonts w:ascii="Arial" w:hAnsi="Arial" w:cs="Arial"/>
          <w:color w:val="0000FF"/>
          <w:sz w:val="20"/>
          <w:szCs w:val="20"/>
        </w:rPr>
        <w:t>https://doi.org/10.38029/babcockuniv.med.j..v9iS1.1583</w:t>
      </w:r>
    </w:hyperlink>
    <w:r w:rsidR="004F5489" w:rsidRPr="00465DCC">
      <w:rPr>
        <w:rFonts w:ascii="Arial" w:hAnsi="Arial" w:cs="Arial"/>
        <w:color w:val="0000FF"/>
        <w:sz w:val="20"/>
        <w:szCs w:val="20"/>
      </w:rPr>
      <w:t xml:space="preserve"> </w:t>
    </w:r>
    <w:r w:rsidR="004F5489" w:rsidRPr="00384349">
      <w:rPr>
        <w:rFonts w:ascii="Arial" w:hAnsi="Arial" w:cs="Arial"/>
        <w:sz w:val="20"/>
        <w:szCs w:val="20"/>
      </w:rPr>
      <w:t xml:space="preserve">                                           eISSN: 2756-4657</w:t>
    </w:r>
    <w:bookmarkEnd w:id="3"/>
    <w:bookmarkEnd w:id="4"/>
  </w:p>
  <w:p w14:paraId="435056C4" w14:textId="77777777" w:rsidR="004F5489" w:rsidRDefault="004F5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FB04F0"/>
    <w:multiLevelType w:val="hybridMultilevel"/>
    <w:tmpl w:val="E61A1C8C"/>
    <w:lvl w:ilvl="0" w:tplc="9162C524">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097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E7"/>
    <w:rsid w:val="000169B2"/>
    <w:rsid w:val="00017E0B"/>
    <w:rsid w:val="00021F12"/>
    <w:rsid w:val="00044648"/>
    <w:rsid w:val="00053828"/>
    <w:rsid w:val="00053A16"/>
    <w:rsid w:val="000B23C3"/>
    <w:rsid w:val="000C459F"/>
    <w:rsid w:val="000C5A1F"/>
    <w:rsid w:val="000E2871"/>
    <w:rsid w:val="000E3009"/>
    <w:rsid w:val="000E3C11"/>
    <w:rsid w:val="00100B03"/>
    <w:rsid w:val="001220A7"/>
    <w:rsid w:val="00133A34"/>
    <w:rsid w:val="00137115"/>
    <w:rsid w:val="001376B4"/>
    <w:rsid w:val="00140D95"/>
    <w:rsid w:val="00154DE7"/>
    <w:rsid w:val="001C43D5"/>
    <w:rsid w:val="001D6014"/>
    <w:rsid w:val="001E6A0E"/>
    <w:rsid w:val="001F53F5"/>
    <w:rsid w:val="00207C21"/>
    <w:rsid w:val="0021495F"/>
    <w:rsid w:val="002305DE"/>
    <w:rsid w:val="00253CE7"/>
    <w:rsid w:val="0027097A"/>
    <w:rsid w:val="00283731"/>
    <w:rsid w:val="00286CAC"/>
    <w:rsid w:val="002A7150"/>
    <w:rsid w:val="002C65CE"/>
    <w:rsid w:val="002E5536"/>
    <w:rsid w:val="00304D1B"/>
    <w:rsid w:val="00337BDA"/>
    <w:rsid w:val="003449F3"/>
    <w:rsid w:val="003470A2"/>
    <w:rsid w:val="003535C2"/>
    <w:rsid w:val="0039368A"/>
    <w:rsid w:val="00394967"/>
    <w:rsid w:val="00395D65"/>
    <w:rsid w:val="003961EF"/>
    <w:rsid w:val="003A2A6E"/>
    <w:rsid w:val="003B3F94"/>
    <w:rsid w:val="003E39C2"/>
    <w:rsid w:val="003F64F5"/>
    <w:rsid w:val="004065FE"/>
    <w:rsid w:val="00420DEF"/>
    <w:rsid w:val="00420F65"/>
    <w:rsid w:val="00423786"/>
    <w:rsid w:val="00424E34"/>
    <w:rsid w:val="00443C91"/>
    <w:rsid w:val="0045783A"/>
    <w:rsid w:val="00465DCC"/>
    <w:rsid w:val="00473018"/>
    <w:rsid w:val="00474A55"/>
    <w:rsid w:val="00487531"/>
    <w:rsid w:val="004903D9"/>
    <w:rsid w:val="004A1B3A"/>
    <w:rsid w:val="004B4850"/>
    <w:rsid w:val="004D156E"/>
    <w:rsid w:val="004F5489"/>
    <w:rsid w:val="00501D7E"/>
    <w:rsid w:val="005030D9"/>
    <w:rsid w:val="00506759"/>
    <w:rsid w:val="005247A3"/>
    <w:rsid w:val="00542E92"/>
    <w:rsid w:val="00543B95"/>
    <w:rsid w:val="005461D2"/>
    <w:rsid w:val="0055233B"/>
    <w:rsid w:val="00552730"/>
    <w:rsid w:val="005546D5"/>
    <w:rsid w:val="00572243"/>
    <w:rsid w:val="00585924"/>
    <w:rsid w:val="005A01FF"/>
    <w:rsid w:val="005A0BB0"/>
    <w:rsid w:val="005A6297"/>
    <w:rsid w:val="005A76DC"/>
    <w:rsid w:val="005A7CCD"/>
    <w:rsid w:val="005B6383"/>
    <w:rsid w:val="005B668F"/>
    <w:rsid w:val="005E36E8"/>
    <w:rsid w:val="005F4766"/>
    <w:rsid w:val="00600A05"/>
    <w:rsid w:val="006043D8"/>
    <w:rsid w:val="00610D82"/>
    <w:rsid w:val="0061161D"/>
    <w:rsid w:val="00613B25"/>
    <w:rsid w:val="00620DA2"/>
    <w:rsid w:val="00643918"/>
    <w:rsid w:val="00660694"/>
    <w:rsid w:val="006623BB"/>
    <w:rsid w:val="006641F5"/>
    <w:rsid w:val="006A467F"/>
    <w:rsid w:val="006B308D"/>
    <w:rsid w:val="006B3957"/>
    <w:rsid w:val="006C1BFA"/>
    <w:rsid w:val="006C533F"/>
    <w:rsid w:val="006E5836"/>
    <w:rsid w:val="006E6B45"/>
    <w:rsid w:val="006F2EB7"/>
    <w:rsid w:val="0072126B"/>
    <w:rsid w:val="00745C84"/>
    <w:rsid w:val="007466DD"/>
    <w:rsid w:val="00754D55"/>
    <w:rsid w:val="0078239A"/>
    <w:rsid w:val="0079173D"/>
    <w:rsid w:val="007A0ADF"/>
    <w:rsid w:val="007A680B"/>
    <w:rsid w:val="007B4D13"/>
    <w:rsid w:val="007B6F81"/>
    <w:rsid w:val="007D5B03"/>
    <w:rsid w:val="007E3271"/>
    <w:rsid w:val="007E4ABA"/>
    <w:rsid w:val="00820257"/>
    <w:rsid w:val="008319B7"/>
    <w:rsid w:val="00835A7E"/>
    <w:rsid w:val="00841737"/>
    <w:rsid w:val="008B3BC7"/>
    <w:rsid w:val="008B4877"/>
    <w:rsid w:val="008D2D9A"/>
    <w:rsid w:val="008D760D"/>
    <w:rsid w:val="008E7A6D"/>
    <w:rsid w:val="008F518C"/>
    <w:rsid w:val="00903255"/>
    <w:rsid w:val="00923C58"/>
    <w:rsid w:val="00927678"/>
    <w:rsid w:val="0094696D"/>
    <w:rsid w:val="00955AB0"/>
    <w:rsid w:val="00962F78"/>
    <w:rsid w:val="009910B7"/>
    <w:rsid w:val="009D54D4"/>
    <w:rsid w:val="009D56D4"/>
    <w:rsid w:val="009D5AD6"/>
    <w:rsid w:val="009D7399"/>
    <w:rsid w:val="009F22DD"/>
    <w:rsid w:val="00A775A5"/>
    <w:rsid w:val="00A840B9"/>
    <w:rsid w:val="00A90496"/>
    <w:rsid w:val="00AA51AB"/>
    <w:rsid w:val="00AB01AC"/>
    <w:rsid w:val="00AC6B20"/>
    <w:rsid w:val="00AC7FBF"/>
    <w:rsid w:val="00AF4C2B"/>
    <w:rsid w:val="00B1527D"/>
    <w:rsid w:val="00B30CB2"/>
    <w:rsid w:val="00B43875"/>
    <w:rsid w:val="00B56A89"/>
    <w:rsid w:val="00B64204"/>
    <w:rsid w:val="00B867CC"/>
    <w:rsid w:val="00BC57A3"/>
    <w:rsid w:val="00BD3301"/>
    <w:rsid w:val="00BD5CCB"/>
    <w:rsid w:val="00BE6381"/>
    <w:rsid w:val="00BE7DD9"/>
    <w:rsid w:val="00C214D5"/>
    <w:rsid w:val="00C46B94"/>
    <w:rsid w:val="00C6758A"/>
    <w:rsid w:val="00C731AF"/>
    <w:rsid w:val="00CA5FFE"/>
    <w:rsid w:val="00CA634D"/>
    <w:rsid w:val="00CD0235"/>
    <w:rsid w:val="00CE096F"/>
    <w:rsid w:val="00CE2249"/>
    <w:rsid w:val="00CE548A"/>
    <w:rsid w:val="00CF61FD"/>
    <w:rsid w:val="00D0233C"/>
    <w:rsid w:val="00D204F0"/>
    <w:rsid w:val="00D35340"/>
    <w:rsid w:val="00D55E3C"/>
    <w:rsid w:val="00D57FF5"/>
    <w:rsid w:val="00D825FA"/>
    <w:rsid w:val="00D85296"/>
    <w:rsid w:val="00D8681A"/>
    <w:rsid w:val="00D970DC"/>
    <w:rsid w:val="00DC3F92"/>
    <w:rsid w:val="00DD0905"/>
    <w:rsid w:val="00DD226F"/>
    <w:rsid w:val="00E02C1B"/>
    <w:rsid w:val="00E2707B"/>
    <w:rsid w:val="00E702D3"/>
    <w:rsid w:val="00E84891"/>
    <w:rsid w:val="00E84B99"/>
    <w:rsid w:val="00E9186E"/>
    <w:rsid w:val="00E958E8"/>
    <w:rsid w:val="00EA4734"/>
    <w:rsid w:val="00EE3253"/>
    <w:rsid w:val="00EF18C0"/>
    <w:rsid w:val="00EF3B92"/>
    <w:rsid w:val="00EF5307"/>
    <w:rsid w:val="00F01E49"/>
    <w:rsid w:val="00F23095"/>
    <w:rsid w:val="00F25B57"/>
    <w:rsid w:val="00F55C2D"/>
    <w:rsid w:val="00F65BBF"/>
    <w:rsid w:val="00F74DFE"/>
    <w:rsid w:val="00F9417B"/>
    <w:rsid w:val="00FB0763"/>
    <w:rsid w:val="00FB78F8"/>
    <w:rsid w:val="00FD57D1"/>
    <w:rsid w:val="00FE1673"/>
    <w:rsid w:val="00FE172A"/>
    <w:rsid w:val="00FE62EC"/>
    <w:rsid w:val="00FF2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D5344"/>
  <w15:chartTrackingRefBased/>
  <w15:docId w15:val="{C7361662-E095-4843-82A1-D3AE02BC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DE7"/>
    <w:rPr>
      <w:rFonts w:eastAsiaTheme="majorEastAsia" w:cstheme="majorBidi"/>
      <w:color w:val="272727" w:themeColor="text1" w:themeTint="D8"/>
    </w:rPr>
  </w:style>
  <w:style w:type="paragraph" w:styleId="Title">
    <w:name w:val="Title"/>
    <w:basedOn w:val="Normal"/>
    <w:next w:val="Normal"/>
    <w:link w:val="TitleChar"/>
    <w:uiPriority w:val="10"/>
    <w:qFormat/>
    <w:rsid w:val="00154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DE7"/>
    <w:pPr>
      <w:spacing w:before="160"/>
      <w:jc w:val="center"/>
    </w:pPr>
    <w:rPr>
      <w:i/>
      <w:iCs/>
      <w:color w:val="404040" w:themeColor="text1" w:themeTint="BF"/>
    </w:rPr>
  </w:style>
  <w:style w:type="character" w:customStyle="1" w:styleId="QuoteChar">
    <w:name w:val="Quote Char"/>
    <w:basedOn w:val="DefaultParagraphFont"/>
    <w:link w:val="Quote"/>
    <w:uiPriority w:val="29"/>
    <w:rsid w:val="00154DE7"/>
    <w:rPr>
      <w:i/>
      <w:iCs/>
      <w:color w:val="404040" w:themeColor="text1" w:themeTint="BF"/>
    </w:rPr>
  </w:style>
  <w:style w:type="paragraph" w:styleId="ListParagraph">
    <w:name w:val="List Paragraph"/>
    <w:basedOn w:val="Normal"/>
    <w:uiPriority w:val="34"/>
    <w:qFormat/>
    <w:rsid w:val="00154DE7"/>
    <w:pPr>
      <w:ind w:left="720"/>
      <w:contextualSpacing/>
    </w:pPr>
  </w:style>
  <w:style w:type="character" w:styleId="IntenseEmphasis">
    <w:name w:val="Intense Emphasis"/>
    <w:basedOn w:val="DefaultParagraphFont"/>
    <w:uiPriority w:val="21"/>
    <w:qFormat/>
    <w:rsid w:val="00154DE7"/>
    <w:rPr>
      <w:i/>
      <w:iCs/>
      <w:color w:val="0F4761" w:themeColor="accent1" w:themeShade="BF"/>
    </w:rPr>
  </w:style>
  <w:style w:type="paragraph" w:styleId="IntenseQuote">
    <w:name w:val="Intense Quote"/>
    <w:basedOn w:val="Normal"/>
    <w:next w:val="Normal"/>
    <w:link w:val="IntenseQuoteChar"/>
    <w:uiPriority w:val="30"/>
    <w:qFormat/>
    <w:rsid w:val="00154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DE7"/>
    <w:rPr>
      <w:i/>
      <w:iCs/>
      <w:color w:val="0F4761" w:themeColor="accent1" w:themeShade="BF"/>
    </w:rPr>
  </w:style>
  <w:style w:type="character" w:styleId="IntenseReference">
    <w:name w:val="Intense Reference"/>
    <w:basedOn w:val="DefaultParagraphFont"/>
    <w:uiPriority w:val="32"/>
    <w:qFormat/>
    <w:rsid w:val="00154DE7"/>
    <w:rPr>
      <w:b/>
      <w:bCs/>
      <w:smallCaps/>
      <w:color w:val="0F4761" w:themeColor="accent1" w:themeShade="BF"/>
      <w:spacing w:val="5"/>
    </w:rPr>
  </w:style>
  <w:style w:type="character" w:styleId="Hyperlink">
    <w:name w:val="Hyperlink"/>
    <w:basedOn w:val="DefaultParagraphFont"/>
    <w:uiPriority w:val="99"/>
    <w:unhideWhenUsed/>
    <w:rsid w:val="007466DD"/>
    <w:rPr>
      <w:color w:val="467886" w:themeColor="hyperlink"/>
      <w:u w:val="single"/>
    </w:rPr>
  </w:style>
  <w:style w:type="character" w:styleId="UnresolvedMention">
    <w:name w:val="Unresolved Mention"/>
    <w:basedOn w:val="DefaultParagraphFont"/>
    <w:uiPriority w:val="99"/>
    <w:semiHidden/>
    <w:unhideWhenUsed/>
    <w:rsid w:val="007466DD"/>
    <w:rPr>
      <w:color w:val="605E5C"/>
      <w:shd w:val="clear" w:color="auto" w:fill="E1DFDD"/>
    </w:rPr>
  </w:style>
  <w:style w:type="paragraph" w:styleId="Header">
    <w:name w:val="header"/>
    <w:basedOn w:val="Normal"/>
    <w:link w:val="HeaderChar"/>
    <w:uiPriority w:val="99"/>
    <w:unhideWhenUsed/>
    <w:rsid w:val="004F5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89"/>
  </w:style>
  <w:style w:type="paragraph" w:styleId="Footer">
    <w:name w:val="footer"/>
    <w:basedOn w:val="Normal"/>
    <w:link w:val="FooterChar"/>
    <w:uiPriority w:val="99"/>
    <w:unhideWhenUsed/>
    <w:rsid w:val="004F5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doi.org/10.1016/j.ijcard.2008.05.071" TargetMode="External"/><Relationship Id="rId39" Type="http://schemas.openxmlformats.org/officeDocument/2006/relationships/hyperlink" Target="https://doi.org/10.1016/j.ijcard.2008.05.071" TargetMode="External"/><Relationship Id="rId21" Type="http://schemas.openxmlformats.org/officeDocument/2006/relationships/image" Target="media/image12.png"/><Relationship Id="rId34" Type="http://schemas.openxmlformats.org/officeDocument/2006/relationships/hyperlink" Target="https://doi.org/10.3390/jpm14090996" TargetMode="External"/><Relationship Id="rId42" Type="http://schemas.openxmlformats.org/officeDocument/2006/relationships/hyperlink" Target="https://doi.org/10.1177/1076029612452116" TargetMode="External"/><Relationship Id="rId47" Type="http://schemas.openxmlformats.org/officeDocument/2006/relationships/hyperlink" Target="https://doi.org/10.1016/j.carpath.2018.04.005"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s://doi.org/10.3390/ijms252413691" TargetMode="External"/><Relationship Id="rId11" Type="http://schemas.openxmlformats.org/officeDocument/2006/relationships/footer" Target="footer2.xml"/><Relationship Id="rId24" Type="http://schemas.openxmlformats.org/officeDocument/2006/relationships/hyperlink" Target="https://doi.org/10.3390/diagnostics14192167" TargetMode="External"/><Relationship Id="rId32" Type="http://schemas.openxmlformats.org/officeDocument/2006/relationships/hyperlink" Target="https://doi.org/10.3389/fcvm.2023.1126718" TargetMode="External"/><Relationship Id="rId37" Type="http://schemas.openxmlformats.org/officeDocument/2006/relationships/hyperlink" Target="https://doi.org/10.1161/HYPERTENSIONAHA.114.04989" TargetMode="External"/><Relationship Id="rId40" Type="http://schemas.openxmlformats.org/officeDocument/2006/relationships/hyperlink" Target="https://doi.org/10.1155/2023/9715114" TargetMode="External"/><Relationship Id="rId45" Type="http://schemas.openxmlformats.org/officeDocument/2006/relationships/hyperlink" Target="https://doi.org/10.61186/rbmb.12.2.241"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oi.org/10.1038/s41569-024-01103-0" TargetMode="External"/><Relationship Id="rId36" Type="http://schemas.openxmlformats.org/officeDocument/2006/relationships/hyperlink" Target="https://doi.org/10.38029/babcockuniv.med.j..v8i1.597"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0.png"/><Relationship Id="rId31" Type="http://schemas.openxmlformats.org/officeDocument/2006/relationships/hyperlink" Target="https://doi.org/10.4103/tjem.tjem_198_23" TargetMode="External"/><Relationship Id="rId44" Type="http://schemas.openxmlformats.org/officeDocument/2006/relationships/hyperlink" Target="https://doi.org/10.1177/0003319719845186"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oi.org/10.1007/978-981-15-2517-9_1" TargetMode="External"/><Relationship Id="rId30" Type="http://schemas.openxmlformats.org/officeDocument/2006/relationships/hyperlink" Target="https://doi.org/10.2147/JIR.S447750" TargetMode="External"/><Relationship Id="rId35" Type="http://schemas.openxmlformats.org/officeDocument/2006/relationships/hyperlink" Target="https://doi.org/10.1097/MCA.0000000000001375" TargetMode="External"/><Relationship Id="rId43" Type="http://schemas.openxmlformats.org/officeDocument/2006/relationships/hyperlink" Target="https://doi.org/10.1016/j.atherosclerosis.2012.09.009"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doi.org/10.3390/ijms23095195" TargetMode="External"/><Relationship Id="rId33" Type="http://schemas.openxmlformats.org/officeDocument/2006/relationships/hyperlink" Target="https://doi.org/10.1007/s12288-025-02210-9" TargetMode="External"/><Relationship Id="rId38" Type="http://schemas.openxmlformats.org/officeDocument/2006/relationships/hyperlink" Target="https://doi.org/10.1161/res.90.3.251" TargetMode="External"/><Relationship Id="rId46" Type="http://schemas.openxmlformats.org/officeDocument/2006/relationships/hyperlink" Target="https://doi.org/10.3389/fphys.2023.1096991" TargetMode="External"/><Relationship Id="rId20" Type="http://schemas.openxmlformats.org/officeDocument/2006/relationships/image" Target="media/image11.png"/><Relationship Id="rId41" Type="http://schemas.openxmlformats.org/officeDocument/2006/relationships/hyperlink" Target="https://doi.org/10.3390/diagnostics12051026"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nour.ibrahim.med25@nahrainuniv.edu.iq"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doi.org/10.38029/babcockuniv.med.j..v9iS1.1583"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6780</Words>
  <Characters>38646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 Abiodun</dc:creator>
  <cp:keywords/>
  <dc:description/>
  <cp:lastModifiedBy>HomePC</cp:lastModifiedBy>
  <cp:revision>2</cp:revision>
  <cp:lastPrinted>2026-05-30T09:49:00Z</cp:lastPrinted>
  <dcterms:created xsi:type="dcterms:W3CDTF">2026-07-22T07:09:00Z</dcterms:created>
  <dcterms:modified xsi:type="dcterms:W3CDTF">2026-07-22T07:09:00Z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96865fae-fe2e-4fb7-a7ff-de056a788768</vt:lpwstr>
  </property>
</Properties>
</file>