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8D32F" w14:textId="4427C076" w:rsidR="00094BE8" w:rsidRDefault="00596498" w:rsidP="00094BE8">
      <w:pPr>
        <w:pStyle w:val="NormalWeb"/>
        <w:spacing w:before="0" w:beforeAutospacing="0" w:after="0" w:afterAutospacing="0"/>
        <w:jc w:val="both"/>
        <w:rPr>
          <w:rFonts w:ascii="Arial" w:hAnsi="Arial" w:cs="Arial"/>
          <w:sz w:val="20"/>
          <w:szCs w:val="20"/>
        </w:rPr>
      </w:pPr>
      <w:r w:rsidRPr="001239BE">
        <w:rPr>
          <w:noProof/>
        </w:rPr>
        <w:drawing>
          <wp:inline distT="0" distB="0" distL="0" distR="0" wp14:anchorId="440F3AD8" wp14:editId="0652108D">
            <wp:extent cx="5731510" cy="248285"/>
            <wp:effectExtent l="0" t="0" r="2540" b="0"/>
            <wp:docPr id="16574783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248285"/>
                    </a:xfrm>
                    <a:prstGeom prst="rect">
                      <a:avLst/>
                    </a:prstGeom>
                    <a:noFill/>
                  </pic:spPr>
                </pic:pic>
              </a:graphicData>
            </a:graphic>
          </wp:inline>
        </w:drawing>
      </w:r>
    </w:p>
    <w:p w14:paraId="3D624301" w14:textId="55ACEAD5" w:rsidR="0021401E" w:rsidRPr="007451FA" w:rsidRDefault="00EC115F" w:rsidP="007451FA">
      <w:pPr>
        <w:pStyle w:val="NormalWeb"/>
        <w:spacing w:before="0" w:beforeAutospacing="0" w:after="0" w:afterAutospacing="0"/>
        <w:rPr>
          <w:rFonts w:ascii="Arial" w:hAnsi="Arial" w:cs="Arial"/>
          <w:sz w:val="44"/>
          <w:szCs w:val="44"/>
        </w:rPr>
      </w:pPr>
      <w:r w:rsidRPr="007451FA">
        <w:rPr>
          <w:rFonts w:ascii="Arial" w:hAnsi="Arial" w:cs="Arial"/>
          <w:sz w:val="44"/>
          <w:szCs w:val="44"/>
        </w:rPr>
        <w:t xml:space="preserve">Factors affecting rotator cuff tendon healing after arthroscopic repair augmented with platelet-rich fibrin in large rotator cuff tears: </w:t>
      </w:r>
      <w:r>
        <w:rPr>
          <w:rFonts w:ascii="Arial" w:hAnsi="Arial" w:cs="Arial"/>
          <w:sz w:val="44"/>
          <w:szCs w:val="44"/>
        </w:rPr>
        <w:t>A</w:t>
      </w:r>
      <w:r w:rsidRPr="007451FA">
        <w:rPr>
          <w:rFonts w:ascii="Arial" w:hAnsi="Arial" w:cs="Arial"/>
          <w:sz w:val="44"/>
          <w:szCs w:val="44"/>
        </w:rPr>
        <w:t xml:space="preserve"> prognostic study </w:t>
      </w:r>
    </w:p>
    <w:p w14:paraId="18B01051" w14:textId="428DA5D6" w:rsidR="00094BE8" w:rsidRPr="0021401E" w:rsidRDefault="00094EFF" w:rsidP="00094BE8">
      <w:pPr>
        <w:pStyle w:val="NormalWeb"/>
        <w:spacing w:before="0" w:beforeAutospacing="0" w:after="0" w:afterAutospacing="0"/>
        <w:jc w:val="both"/>
        <w:rPr>
          <w:rFonts w:ascii="Arial" w:hAnsi="Arial" w:cs="Arial"/>
        </w:rPr>
      </w:pPr>
      <w:r>
        <w:rPr>
          <w:rFonts w:ascii="Arial" w:hAnsi="Arial" w:cs="Arial"/>
        </w:rPr>
        <w:t>Hai</w:t>
      </w:r>
      <w:r w:rsidR="00094BE8" w:rsidRPr="0021401E">
        <w:rPr>
          <w:rFonts w:ascii="Arial" w:hAnsi="Arial" w:cs="Arial"/>
        </w:rPr>
        <w:t xml:space="preserve"> </w:t>
      </w:r>
      <w:r>
        <w:rPr>
          <w:rFonts w:ascii="Arial" w:hAnsi="Arial" w:cs="Arial"/>
        </w:rPr>
        <w:t>D</w:t>
      </w:r>
      <w:r w:rsidR="00094BE8" w:rsidRPr="0021401E">
        <w:rPr>
          <w:rFonts w:ascii="Arial" w:hAnsi="Arial" w:cs="Arial"/>
        </w:rPr>
        <w:t>V</w:t>
      </w:r>
      <w:r w:rsidR="00EC115F">
        <w:rPr>
          <w:rFonts w:ascii="Arial" w:hAnsi="Arial" w:cs="Arial"/>
          <w:vertAlign w:val="superscript"/>
        </w:rPr>
        <w:t>1,</w:t>
      </w:r>
      <w:r>
        <w:rPr>
          <w:rFonts w:ascii="Arial" w:hAnsi="Arial" w:cs="Arial"/>
          <w:vertAlign w:val="superscript"/>
        </w:rPr>
        <w:t xml:space="preserve"> </w:t>
      </w:r>
      <w:r w:rsidR="00EC115F">
        <w:rPr>
          <w:rFonts w:ascii="Arial" w:hAnsi="Arial" w:cs="Arial"/>
          <w:vertAlign w:val="superscript"/>
        </w:rPr>
        <w:t>2</w:t>
      </w:r>
      <w:hyperlink r:id="rId8" w:history="1">
        <w:r w:rsidR="004C5566" w:rsidRPr="004C5566">
          <w:rPr>
            <w:rStyle w:val="Hyperlink"/>
            <w:rFonts w:ascii="Arial" w:hAnsi="Arial" w:cs="Arial"/>
            <w:vertAlign w:val="superscript"/>
          </w:rPr>
          <w:t>ID</w:t>
        </w:r>
      </w:hyperlink>
      <w:r w:rsidR="00094BE8" w:rsidRPr="0021401E">
        <w:rPr>
          <w:rFonts w:ascii="Arial" w:hAnsi="Arial" w:cs="Arial"/>
        </w:rPr>
        <w:t xml:space="preserve">, </w:t>
      </w:r>
      <w:r>
        <w:rPr>
          <w:rFonts w:ascii="Arial" w:hAnsi="Arial" w:cs="Arial"/>
        </w:rPr>
        <w:t xml:space="preserve">Khanh </w:t>
      </w:r>
      <w:r w:rsidR="00094BE8" w:rsidRPr="0021401E">
        <w:rPr>
          <w:rFonts w:ascii="Arial" w:hAnsi="Arial" w:cs="Arial"/>
        </w:rPr>
        <w:t>NM</w:t>
      </w:r>
      <w:r w:rsidR="00EC115F">
        <w:rPr>
          <w:rFonts w:ascii="Arial" w:hAnsi="Arial" w:cs="Arial"/>
          <w:vertAlign w:val="superscript"/>
        </w:rPr>
        <w:t>2</w:t>
      </w:r>
      <w:hyperlink r:id="rId9" w:history="1">
        <w:r w:rsidR="00EC115F" w:rsidRPr="00EC115F">
          <w:rPr>
            <w:rStyle w:val="Hyperlink"/>
            <w:rFonts w:ascii="Arial" w:hAnsi="Arial" w:cs="Arial"/>
            <w:vertAlign w:val="superscript"/>
          </w:rPr>
          <w:t>I</w:t>
        </w:r>
        <w:r w:rsidR="005C4475" w:rsidRPr="00EC115F">
          <w:rPr>
            <w:rStyle w:val="Hyperlink"/>
            <w:rFonts w:ascii="Arial" w:hAnsi="Arial" w:cs="Arial"/>
            <w:vertAlign w:val="superscript"/>
          </w:rPr>
          <w:t>D</w:t>
        </w:r>
      </w:hyperlink>
      <w:r w:rsidR="00094BE8" w:rsidRPr="0021401E">
        <w:rPr>
          <w:rFonts w:ascii="Arial" w:hAnsi="Arial" w:cs="Arial"/>
        </w:rPr>
        <w:t xml:space="preserve">, </w:t>
      </w:r>
      <w:r>
        <w:rPr>
          <w:rFonts w:ascii="Arial" w:hAnsi="Arial" w:cs="Arial"/>
        </w:rPr>
        <w:t>Minh</w:t>
      </w:r>
      <w:r w:rsidR="00094BE8" w:rsidRPr="0021401E">
        <w:rPr>
          <w:rFonts w:ascii="Arial" w:hAnsi="Arial" w:cs="Arial"/>
        </w:rPr>
        <w:t xml:space="preserve"> </w:t>
      </w:r>
      <w:r>
        <w:rPr>
          <w:rFonts w:ascii="Arial" w:hAnsi="Arial" w:cs="Arial"/>
        </w:rPr>
        <w:t>D</w:t>
      </w:r>
      <w:r w:rsidR="00094BE8" w:rsidRPr="0021401E">
        <w:rPr>
          <w:rFonts w:ascii="Arial" w:hAnsi="Arial" w:cs="Arial"/>
        </w:rPr>
        <w:t>V</w:t>
      </w:r>
      <w:r>
        <w:rPr>
          <w:rFonts w:ascii="Arial" w:hAnsi="Arial" w:cs="Arial"/>
          <w:vertAlign w:val="superscript"/>
        </w:rPr>
        <w:t>1</w:t>
      </w:r>
      <w:hyperlink r:id="rId10" w:history="1">
        <w:r w:rsidRPr="00094EFF">
          <w:rPr>
            <w:rStyle w:val="Hyperlink"/>
            <w:rFonts w:ascii="Arial" w:hAnsi="Arial" w:cs="Arial"/>
            <w:vertAlign w:val="superscript"/>
          </w:rPr>
          <w:t>ID</w:t>
        </w:r>
      </w:hyperlink>
      <w:r w:rsidR="00094BE8" w:rsidRPr="0021401E">
        <w:rPr>
          <w:rFonts w:ascii="Arial" w:hAnsi="Arial" w:cs="Arial"/>
        </w:rPr>
        <w:t xml:space="preserve">, </w:t>
      </w:r>
      <w:r>
        <w:rPr>
          <w:rFonts w:ascii="Arial" w:hAnsi="Arial" w:cs="Arial"/>
        </w:rPr>
        <w:t xml:space="preserve">Khoa </w:t>
      </w:r>
      <w:r w:rsidR="00094BE8" w:rsidRPr="0021401E">
        <w:rPr>
          <w:rFonts w:ascii="Arial" w:hAnsi="Arial" w:cs="Arial"/>
        </w:rPr>
        <w:t>VV</w:t>
      </w:r>
      <w:r w:rsidR="00EC115F">
        <w:rPr>
          <w:rFonts w:ascii="Arial" w:hAnsi="Arial" w:cs="Arial"/>
          <w:vertAlign w:val="superscript"/>
        </w:rPr>
        <w:t>2</w:t>
      </w:r>
      <w:hyperlink r:id="rId11" w:history="1">
        <w:r w:rsidRPr="00094EFF">
          <w:rPr>
            <w:rStyle w:val="Hyperlink"/>
            <w:rFonts w:ascii="Arial" w:hAnsi="Arial" w:cs="Arial"/>
            <w:vertAlign w:val="superscript"/>
          </w:rPr>
          <w:t>ID</w:t>
        </w:r>
      </w:hyperlink>
      <w:r w:rsidR="00094BE8" w:rsidRPr="0021401E">
        <w:rPr>
          <w:rFonts w:ascii="Arial" w:hAnsi="Arial" w:cs="Arial"/>
        </w:rPr>
        <w:t xml:space="preserve">, </w:t>
      </w:r>
      <w:r>
        <w:rPr>
          <w:rFonts w:ascii="Arial" w:hAnsi="Arial" w:cs="Arial"/>
        </w:rPr>
        <w:t xml:space="preserve">Minh </w:t>
      </w:r>
      <w:r w:rsidR="00094BE8" w:rsidRPr="0021401E">
        <w:rPr>
          <w:rFonts w:ascii="Arial" w:hAnsi="Arial" w:cs="Arial"/>
        </w:rPr>
        <w:t>DN</w:t>
      </w:r>
      <w:r w:rsidR="00EC115F">
        <w:rPr>
          <w:rFonts w:ascii="Arial" w:hAnsi="Arial" w:cs="Arial"/>
          <w:vertAlign w:val="superscript"/>
        </w:rPr>
        <w:t>2</w:t>
      </w:r>
      <w:hyperlink r:id="rId12" w:history="1">
        <w:r w:rsidRPr="00094EFF">
          <w:rPr>
            <w:rStyle w:val="Hyperlink"/>
            <w:rFonts w:ascii="Arial" w:hAnsi="Arial" w:cs="Arial"/>
            <w:vertAlign w:val="superscript"/>
          </w:rPr>
          <w:t>ID</w:t>
        </w:r>
      </w:hyperlink>
      <w:r w:rsidR="00094BE8" w:rsidRPr="0021401E">
        <w:rPr>
          <w:rFonts w:ascii="Arial" w:hAnsi="Arial" w:cs="Arial"/>
        </w:rPr>
        <w:t xml:space="preserve">, </w:t>
      </w:r>
      <w:r>
        <w:rPr>
          <w:rFonts w:ascii="Arial" w:hAnsi="Arial" w:cs="Arial"/>
        </w:rPr>
        <w:t xml:space="preserve">Ahn </w:t>
      </w:r>
      <w:r w:rsidR="00094BE8" w:rsidRPr="0021401E">
        <w:rPr>
          <w:rFonts w:ascii="Arial" w:hAnsi="Arial" w:cs="Arial"/>
        </w:rPr>
        <w:t>T</w:t>
      </w:r>
      <w:r>
        <w:rPr>
          <w:rFonts w:ascii="Arial" w:hAnsi="Arial" w:cs="Arial"/>
        </w:rPr>
        <w:t>N</w:t>
      </w:r>
      <w:r w:rsidR="00EC115F">
        <w:rPr>
          <w:rFonts w:ascii="Arial" w:hAnsi="Arial" w:cs="Arial"/>
          <w:vertAlign w:val="superscript"/>
        </w:rPr>
        <w:t>2</w:t>
      </w:r>
      <w:hyperlink r:id="rId13" w:history="1">
        <w:r w:rsidRPr="00094EFF">
          <w:rPr>
            <w:rStyle w:val="Hyperlink"/>
            <w:rFonts w:ascii="Arial" w:hAnsi="Arial" w:cs="Arial"/>
            <w:vertAlign w:val="superscript"/>
          </w:rPr>
          <w:t>ID</w:t>
        </w:r>
      </w:hyperlink>
      <w:r w:rsidR="00094BE8" w:rsidRPr="0021401E">
        <w:rPr>
          <w:rFonts w:ascii="Arial" w:hAnsi="Arial" w:cs="Arial"/>
        </w:rPr>
        <w:t xml:space="preserve">, </w:t>
      </w:r>
      <w:r w:rsidR="0008256D">
        <w:rPr>
          <w:rFonts w:ascii="Arial" w:hAnsi="Arial" w:cs="Arial"/>
        </w:rPr>
        <w:t xml:space="preserve">Hien </w:t>
      </w:r>
      <w:r w:rsidR="00094BE8" w:rsidRPr="0021401E">
        <w:rPr>
          <w:rFonts w:ascii="Arial" w:hAnsi="Arial" w:cs="Arial"/>
        </w:rPr>
        <w:t>PTT</w:t>
      </w:r>
      <w:r w:rsidR="00EC115F">
        <w:rPr>
          <w:rFonts w:ascii="Arial" w:hAnsi="Arial" w:cs="Arial"/>
          <w:vertAlign w:val="superscript"/>
        </w:rPr>
        <w:t>4</w:t>
      </w:r>
      <w:hyperlink r:id="rId14" w:history="1">
        <w:r w:rsidR="0008256D" w:rsidRPr="0008256D">
          <w:rPr>
            <w:rStyle w:val="Hyperlink"/>
            <w:rFonts w:ascii="Arial" w:hAnsi="Arial" w:cs="Arial"/>
            <w:vertAlign w:val="superscript"/>
          </w:rPr>
          <w:t>ID</w:t>
        </w:r>
      </w:hyperlink>
    </w:p>
    <w:p w14:paraId="54CBD13A" w14:textId="77777777" w:rsidR="0021401E" w:rsidRPr="00094BE8" w:rsidRDefault="0021401E" w:rsidP="00094BE8">
      <w:pPr>
        <w:pStyle w:val="NormalWeb"/>
        <w:spacing w:before="0" w:beforeAutospacing="0" w:after="0" w:afterAutospacing="0"/>
        <w:jc w:val="both"/>
        <w:rPr>
          <w:rFonts w:ascii="Arial" w:hAnsi="Arial" w:cs="Arial"/>
          <w:sz w:val="20"/>
          <w:szCs w:val="20"/>
        </w:rPr>
      </w:pPr>
    </w:p>
    <w:p w14:paraId="54DF1B3A" w14:textId="5F344B46" w:rsidR="0021401E" w:rsidRPr="00927576" w:rsidRDefault="00EC115F" w:rsidP="00927576">
      <w:pPr>
        <w:pStyle w:val="NormalWeb"/>
        <w:spacing w:before="0" w:beforeAutospacing="0" w:after="0" w:afterAutospacing="0"/>
        <w:rPr>
          <w:rFonts w:ascii="Arial" w:hAnsi="Arial" w:cs="Arial"/>
          <w:i/>
          <w:iCs/>
          <w:sz w:val="20"/>
          <w:szCs w:val="20"/>
        </w:rPr>
      </w:pPr>
      <w:r>
        <w:rPr>
          <w:rFonts w:ascii="Arial" w:hAnsi="Arial" w:cs="Arial"/>
          <w:i/>
          <w:iCs/>
          <w:sz w:val="20"/>
          <w:szCs w:val="20"/>
          <w:vertAlign w:val="superscript"/>
        </w:rPr>
        <w:t>1</w:t>
      </w:r>
      <w:r w:rsidR="0008256D" w:rsidRPr="0008256D">
        <w:rPr>
          <w:rFonts w:ascii="Arial" w:hAnsi="Arial" w:cs="Arial"/>
          <w:i/>
          <w:iCs/>
          <w:sz w:val="20"/>
          <w:szCs w:val="20"/>
        </w:rPr>
        <w:t>Hanoi Medical University, Hanoi, Vietnam</w:t>
      </w:r>
    </w:p>
    <w:p w14:paraId="5F683AD0" w14:textId="14FEC259" w:rsidR="00927576" w:rsidRPr="00927576" w:rsidRDefault="00EC115F" w:rsidP="00927576">
      <w:pPr>
        <w:pStyle w:val="NormalWeb"/>
        <w:spacing w:before="0" w:beforeAutospacing="0" w:after="0" w:afterAutospacing="0"/>
        <w:rPr>
          <w:rFonts w:ascii="Arial" w:hAnsi="Arial" w:cs="Arial"/>
          <w:i/>
          <w:iCs/>
          <w:sz w:val="20"/>
          <w:szCs w:val="20"/>
        </w:rPr>
      </w:pPr>
      <w:r>
        <w:rPr>
          <w:rFonts w:ascii="Arial" w:hAnsi="Arial" w:cs="Arial"/>
          <w:i/>
          <w:iCs/>
          <w:sz w:val="20"/>
          <w:szCs w:val="20"/>
          <w:vertAlign w:val="superscript"/>
        </w:rPr>
        <w:t>2</w:t>
      </w:r>
      <w:r w:rsidR="00094BE8" w:rsidRPr="00927576">
        <w:rPr>
          <w:rFonts w:ascii="Arial" w:hAnsi="Arial" w:cs="Arial"/>
          <w:i/>
          <w:iCs/>
          <w:sz w:val="20"/>
          <w:szCs w:val="20"/>
        </w:rPr>
        <w:t xml:space="preserve">Viet Duc University Hospital, Hanoi, Vietnam </w:t>
      </w:r>
    </w:p>
    <w:p w14:paraId="356EBDC1" w14:textId="4EE7C937" w:rsidR="00094BE8" w:rsidRDefault="00EC115F" w:rsidP="00927576">
      <w:pPr>
        <w:pStyle w:val="NormalWeb"/>
        <w:spacing w:before="0" w:beforeAutospacing="0" w:after="0" w:afterAutospacing="0"/>
        <w:rPr>
          <w:rFonts w:ascii="Arial" w:hAnsi="Arial" w:cs="Arial"/>
          <w:sz w:val="20"/>
          <w:szCs w:val="20"/>
        </w:rPr>
      </w:pPr>
      <w:r>
        <w:rPr>
          <w:rFonts w:ascii="Arial" w:hAnsi="Arial" w:cs="Arial"/>
          <w:i/>
          <w:iCs/>
          <w:sz w:val="20"/>
          <w:szCs w:val="20"/>
          <w:vertAlign w:val="superscript"/>
        </w:rPr>
        <w:t>3</w:t>
      </w:r>
      <w:r w:rsidR="00094BE8" w:rsidRPr="00927576">
        <w:rPr>
          <w:rFonts w:ascii="Arial" w:hAnsi="Arial" w:cs="Arial"/>
          <w:i/>
          <w:iCs/>
          <w:sz w:val="20"/>
          <w:szCs w:val="20"/>
        </w:rPr>
        <w:t>Bach Mai Hospital, Hanoi, Vietnam</w:t>
      </w:r>
    </w:p>
    <w:p w14:paraId="2A7787D3" w14:textId="77777777" w:rsidR="00927576" w:rsidRPr="00094BE8" w:rsidRDefault="00927576" w:rsidP="00094BE8">
      <w:pPr>
        <w:pStyle w:val="NormalWeb"/>
        <w:spacing w:before="0" w:beforeAutospacing="0" w:after="0" w:afterAutospacing="0"/>
        <w:jc w:val="both"/>
        <w:rPr>
          <w:rFonts w:ascii="Arial" w:hAnsi="Arial" w:cs="Arial"/>
          <w:sz w:val="20"/>
          <w:szCs w:val="20"/>
        </w:rPr>
      </w:pPr>
    </w:p>
    <w:p w14:paraId="3AE13061" w14:textId="4DFB835B" w:rsidR="00EC115F" w:rsidRPr="004E7B52" w:rsidRDefault="00EC115F" w:rsidP="00EC115F">
      <w:pPr>
        <w:autoSpaceDE w:val="0"/>
        <w:autoSpaceDN w:val="0"/>
        <w:adjustRightInd w:val="0"/>
        <w:spacing w:after="0" w:line="240" w:lineRule="auto"/>
        <w:jc w:val="both"/>
        <w:rPr>
          <w:rFonts w:ascii="Arial" w:eastAsia="SimSun" w:hAnsi="Arial" w:cs="Arial"/>
          <w:color w:val="000000"/>
          <w:sz w:val="16"/>
          <w:szCs w:val="16"/>
        </w:rPr>
      </w:pPr>
      <w:r w:rsidRPr="004E7B52">
        <w:rPr>
          <w:rFonts w:ascii="Arial" w:eastAsia="SimSun" w:hAnsi="Arial" w:cs="Arial"/>
          <w:i/>
          <w:iCs/>
          <w:color w:val="000000"/>
          <w:sz w:val="16"/>
          <w:szCs w:val="16"/>
        </w:rPr>
        <w:t xml:space="preserve">Submitted: </w:t>
      </w:r>
      <w:r>
        <w:rPr>
          <w:rFonts w:ascii="Arial" w:eastAsia="SimSun" w:hAnsi="Arial" w:cs="Arial"/>
          <w:i/>
          <w:iCs/>
          <w:color w:val="000000"/>
          <w:sz w:val="16"/>
          <w:szCs w:val="16"/>
        </w:rPr>
        <w:t>21</w:t>
      </w:r>
      <w:r w:rsidRPr="00EC115F">
        <w:rPr>
          <w:rFonts w:ascii="Arial" w:eastAsia="SimSun" w:hAnsi="Arial" w:cs="Arial"/>
          <w:i/>
          <w:iCs/>
          <w:color w:val="000000"/>
          <w:sz w:val="16"/>
          <w:szCs w:val="16"/>
          <w:vertAlign w:val="superscript"/>
        </w:rPr>
        <w:t>st</w:t>
      </w:r>
      <w:r>
        <w:rPr>
          <w:rFonts w:ascii="Arial" w:eastAsia="SimSun" w:hAnsi="Arial" w:cs="Arial"/>
          <w:i/>
          <w:iCs/>
          <w:color w:val="000000"/>
          <w:sz w:val="16"/>
          <w:szCs w:val="16"/>
        </w:rPr>
        <w:t xml:space="preserve"> </w:t>
      </w:r>
      <w:r w:rsidR="000755E3">
        <w:rPr>
          <w:rFonts w:ascii="Arial" w:eastAsia="SimSun" w:hAnsi="Arial" w:cs="Arial"/>
          <w:i/>
          <w:iCs/>
          <w:color w:val="000000"/>
          <w:sz w:val="16"/>
          <w:szCs w:val="16"/>
        </w:rPr>
        <w:t>April</w:t>
      </w:r>
      <w:r>
        <w:rPr>
          <w:rFonts w:ascii="Arial" w:eastAsia="SimSun" w:hAnsi="Arial" w:cs="Arial"/>
          <w:i/>
          <w:iCs/>
          <w:color w:val="000000"/>
          <w:sz w:val="16"/>
          <w:szCs w:val="16"/>
        </w:rPr>
        <w:t xml:space="preserve"> </w:t>
      </w:r>
      <w:r w:rsidRPr="004E7B52">
        <w:rPr>
          <w:rFonts w:ascii="Arial" w:eastAsia="SimSun" w:hAnsi="Arial" w:cs="Arial"/>
          <w:i/>
          <w:iCs/>
          <w:color w:val="000000"/>
          <w:sz w:val="16"/>
          <w:szCs w:val="16"/>
        </w:rPr>
        <w:t>2026</w:t>
      </w:r>
    </w:p>
    <w:p w14:paraId="6C09CCA2" w14:textId="55A94574" w:rsidR="00EC115F" w:rsidRPr="004E7B52" w:rsidRDefault="00EC115F" w:rsidP="00EC115F">
      <w:pPr>
        <w:autoSpaceDE w:val="0"/>
        <w:autoSpaceDN w:val="0"/>
        <w:adjustRightInd w:val="0"/>
        <w:spacing w:after="0" w:line="240" w:lineRule="auto"/>
        <w:jc w:val="both"/>
        <w:rPr>
          <w:rFonts w:ascii="Arial" w:eastAsia="SimSun" w:hAnsi="Arial" w:cs="Arial"/>
          <w:color w:val="000000"/>
          <w:sz w:val="16"/>
          <w:szCs w:val="16"/>
        </w:rPr>
      </w:pPr>
      <w:r w:rsidRPr="004E7B52">
        <w:rPr>
          <w:rFonts w:ascii="Arial" w:eastAsia="SimSun" w:hAnsi="Arial" w:cs="Arial"/>
          <w:i/>
          <w:iCs/>
          <w:color w:val="000000"/>
          <w:sz w:val="16"/>
          <w:szCs w:val="16"/>
        </w:rPr>
        <w:t xml:space="preserve">Accepted: </w:t>
      </w:r>
      <w:r>
        <w:rPr>
          <w:rFonts w:ascii="Arial" w:eastAsia="SimSun" w:hAnsi="Arial" w:cs="Arial"/>
          <w:i/>
          <w:iCs/>
          <w:color w:val="000000"/>
          <w:sz w:val="16"/>
          <w:szCs w:val="16"/>
        </w:rPr>
        <w:t>22</w:t>
      </w:r>
      <w:r w:rsidRPr="00EC115F">
        <w:rPr>
          <w:rFonts w:ascii="Arial" w:eastAsia="SimSun" w:hAnsi="Arial" w:cs="Arial"/>
          <w:i/>
          <w:iCs/>
          <w:color w:val="000000"/>
          <w:sz w:val="16"/>
          <w:szCs w:val="16"/>
          <w:vertAlign w:val="superscript"/>
        </w:rPr>
        <w:t>nd</w:t>
      </w:r>
      <w:r>
        <w:rPr>
          <w:rFonts w:ascii="Arial" w:eastAsia="SimSun" w:hAnsi="Arial" w:cs="Arial"/>
          <w:i/>
          <w:iCs/>
          <w:color w:val="000000"/>
          <w:sz w:val="16"/>
          <w:szCs w:val="16"/>
        </w:rPr>
        <w:t xml:space="preserve"> May </w:t>
      </w:r>
      <w:r w:rsidRPr="004E7B52">
        <w:rPr>
          <w:rFonts w:ascii="Arial" w:eastAsia="SimSun" w:hAnsi="Arial" w:cs="Arial"/>
          <w:i/>
          <w:iCs/>
          <w:color w:val="000000"/>
          <w:sz w:val="16"/>
          <w:szCs w:val="16"/>
        </w:rPr>
        <w:t>2026</w:t>
      </w:r>
    </w:p>
    <w:p w14:paraId="4EFC430F" w14:textId="263E0B49" w:rsidR="00EC115F" w:rsidRPr="004E7B52" w:rsidRDefault="00EC115F" w:rsidP="00EC115F">
      <w:pPr>
        <w:autoSpaceDE w:val="0"/>
        <w:autoSpaceDN w:val="0"/>
        <w:adjustRightInd w:val="0"/>
        <w:spacing w:after="0" w:line="240" w:lineRule="auto"/>
        <w:jc w:val="both"/>
        <w:rPr>
          <w:rFonts w:ascii="Arial" w:eastAsia="SimSun" w:hAnsi="Arial" w:cs="Arial"/>
          <w:i/>
          <w:iCs/>
          <w:color w:val="000000"/>
          <w:sz w:val="16"/>
          <w:szCs w:val="16"/>
        </w:rPr>
      </w:pPr>
      <w:r w:rsidRPr="004E7B52">
        <w:rPr>
          <w:rFonts w:ascii="Arial" w:eastAsia="SimSun" w:hAnsi="Arial" w:cs="Arial"/>
          <w:i/>
          <w:iCs/>
          <w:color w:val="000000"/>
          <w:sz w:val="16"/>
          <w:szCs w:val="16"/>
        </w:rPr>
        <w:t>Published: 3</w:t>
      </w:r>
      <w:r>
        <w:rPr>
          <w:rFonts w:ascii="Arial" w:eastAsia="SimSun" w:hAnsi="Arial" w:cs="Arial"/>
          <w:i/>
          <w:iCs/>
          <w:color w:val="000000"/>
          <w:sz w:val="16"/>
          <w:szCs w:val="16"/>
        </w:rPr>
        <w:t>1</w:t>
      </w:r>
      <w:r w:rsidRPr="00EC115F">
        <w:rPr>
          <w:rFonts w:ascii="Arial" w:eastAsia="SimSun" w:hAnsi="Arial" w:cs="Arial"/>
          <w:i/>
          <w:iCs/>
          <w:color w:val="000000"/>
          <w:sz w:val="16"/>
          <w:szCs w:val="16"/>
          <w:vertAlign w:val="superscript"/>
        </w:rPr>
        <w:t>st</w:t>
      </w:r>
      <w:r>
        <w:rPr>
          <w:rFonts w:ascii="Arial" w:eastAsia="SimSun" w:hAnsi="Arial" w:cs="Arial"/>
          <w:i/>
          <w:iCs/>
          <w:color w:val="000000"/>
          <w:sz w:val="16"/>
          <w:szCs w:val="16"/>
        </w:rPr>
        <w:t xml:space="preserve"> </w:t>
      </w:r>
      <w:r w:rsidR="000755E3">
        <w:rPr>
          <w:rFonts w:ascii="Arial" w:eastAsia="SimSun" w:hAnsi="Arial" w:cs="Arial"/>
          <w:i/>
          <w:iCs/>
          <w:color w:val="000000"/>
          <w:sz w:val="16"/>
          <w:szCs w:val="16"/>
        </w:rPr>
        <w:t>Octobe</w:t>
      </w:r>
      <w:r>
        <w:rPr>
          <w:rFonts w:ascii="Arial" w:eastAsia="SimSun" w:hAnsi="Arial" w:cs="Arial"/>
          <w:i/>
          <w:iCs/>
          <w:color w:val="000000"/>
          <w:sz w:val="16"/>
          <w:szCs w:val="16"/>
        </w:rPr>
        <w:t>r</w:t>
      </w:r>
      <w:r w:rsidRPr="004E7B52">
        <w:rPr>
          <w:rFonts w:ascii="Arial" w:eastAsia="SimSun" w:hAnsi="Arial" w:cs="Arial"/>
          <w:i/>
          <w:iCs/>
          <w:color w:val="000000"/>
          <w:sz w:val="16"/>
          <w:szCs w:val="16"/>
        </w:rPr>
        <w:t xml:space="preserve"> 2026</w:t>
      </w:r>
    </w:p>
    <w:p w14:paraId="3EA578FB" w14:textId="77777777" w:rsidR="00EC115F" w:rsidRPr="00E968EA" w:rsidRDefault="00EC115F" w:rsidP="00EC115F">
      <w:pPr>
        <w:spacing w:after="0" w:line="240" w:lineRule="auto"/>
        <w:jc w:val="both"/>
        <w:rPr>
          <w:rFonts w:ascii="Arial" w:eastAsia="Calibri" w:hAnsi="Arial" w:cs="Arial"/>
          <w:kern w:val="0"/>
          <w:sz w:val="20"/>
          <w:szCs w:val="20"/>
          <w14:ligatures w14:val="none"/>
        </w:rPr>
      </w:pPr>
      <w:r w:rsidRPr="004E7B52">
        <w:rPr>
          <w:rFonts w:ascii="Arial" w:eastAsia="Calibri" w:hAnsi="Arial" w:cs="Arial"/>
          <w:color w:val="0000FF"/>
          <w:kern w:val="0"/>
          <w:sz w:val="20"/>
          <w:szCs w:val="20"/>
          <w:u w:val="single"/>
          <w14:ligatures w14:val="none"/>
        </w:rPr>
        <w:t>ID</w:t>
      </w:r>
      <w:r w:rsidRPr="004E7B52">
        <w:rPr>
          <w:rFonts w:ascii="Arial" w:eastAsia="Calibri" w:hAnsi="Arial" w:cs="Arial"/>
          <w:kern w:val="0"/>
          <w:sz w:val="20"/>
          <w:szCs w:val="20"/>
          <w14:ligatures w14:val="none"/>
        </w:rPr>
        <w:t xml:space="preserve">: </w:t>
      </w:r>
      <w:proofErr w:type="spellStart"/>
      <w:r w:rsidRPr="004E7B52">
        <w:rPr>
          <w:rFonts w:ascii="Arial" w:eastAsia="Calibri" w:hAnsi="Arial" w:cs="Arial"/>
          <w:kern w:val="0"/>
          <w:sz w:val="20"/>
          <w:szCs w:val="20"/>
          <w14:ligatures w14:val="none"/>
        </w:rPr>
        <w:t>Orcid</w:t>
      </w:r>
      <w:proofErr w:type="spellEnd"/>
      <w:r w:rsidRPr="004E7B52">
        <w:rPr>
          <w:rFonts w:ascii="Arial" w:eastAsia="Calibri" w:hAnsi="Arial" w:cs="Arial"/>
          <w:kern w:val="0"/>
          <w:sz w:val="20"/>
          <w:szCs w:val="20"/>
          <w14:ligatures w14:val="none"/>
        </w:rPr>
        <w:t xml:space="preserve"> ID</w:t>
      </w:r>
    </w:p>
    <w:p w14:paraId="74727624" w14:textId="7605437A" w:rsidR="00094BE8" w:rsidRDefault="00504B2A" w:rsidP="00094BE8">
      <w:pPr>
        <w:pStyle w:val="NormalWeb"/>
        <w:spacing w:before="0" w:beforeAutospacing="0" w:after="0" w:afterAutospacing="0"/>
        <w:jc w:val="both"/>
        <w:rPr>
          <w:rFonts w:ascii="Arial" w:hAnsi="Arial" w:cs="Arial"/>
          <w:sz w:val="20"/>
          <w:szCs w:val="20"/>
        </w:rPr>
      </w:pPr>
      <w:r w:rsidRPr="001239BE">
        <w:rPr>
          <w:noProof/>
        </w:rPr>
        <mc:AlternateContent>
          <mc:Choice Requires="wps">
            <w:drawing>
              <wp:anchor distT="0" distB="0" distL="114300" distR="114300" simplePos="0" relativeHeight="251664384" behindDoc="0" locked="0" layoutInCell="1" allowOverlap="1" wp14:anchorId="543E3F64" wp14:editId="42FA86DF">
                <wp:simplePos x="0" y="0"/>
                <wp:positionH relativeFrom="margin">
                  <wp:align>right</wp:align>
                </wp:positionH>
                <wp:positionV relativeFrom="paragraph">
                  <wp:posOffset>143510</wp:posOffset>
                </wp:positionV>
                <wp:extent cx="5715000" cy="2597150"/>
                <wp:effectExtent l="0" t="0" r="19050" b="12700"/>
                <wp:wrapNone/>
                <wp:docPr id="765421686" name="Rectangle 17"/>
                <wp:cNvGraphicFramePr/>
                <a:graphic xmlns:a="http://schemas.openxmlformats.org/drawingml/2006/main">
                  <a:graphicData uri="http://schemas.microsoft.com/office/word/2010/wordprocessingShape">
                    <wps:wsp>
                      <wps:cNvSpPr/>
                      <wps:spPr>
                        <a:xfrm>
                          <a:off x="0" y="0"/>
                          <a:ext cx="5715000" cy="2597150"/>
                        </a:xfrm>
                        <a:prstGeom prst="rect">
                          <a:avLst/>
                        </a:prstGeom>
                        <a:solidFill>
                          <a:srgbClr val="5B9BD5"/>
                        </a:solidFill>
                        <a:ln w="12700" cap="flat" cmpd="sng" algn="ctr">
                          <a:solidFill>
                            <a:srgbClr val="5B9BD5">
                              <a:shade val="50000"/>
                            </a:srgbClr>
                          </a:solidFill>
                          <a:prstDash val="solid"/>
                          <a:miter lim="800000"/>
                        </a:ln>
                        <a:effectLst/>
                      </wps:spPr>
                      <wps:txbx>
                        <w:txbxContent>
                          <w:p w14:paraId="09A1F029" w14:textId="77777777" w:rsidR="00504B2A" w:rsidRDefault="00504B2A" w:rsidP="00504B2A">
                            <w:pPr>
                              <w:spacing w:after="0" w:line="240" w:lineRule="auto"/>
                              <w:jc w:val="both"/>
                              <w:rPr>
                                <w:rFonts w:ascii="Arial" w:hAnsi="Arial" w:cs="Arial"/>
                                <w:b/>
                                <w:sz w:val="18"/>
                                <w:szCs w:val="18"/>
                              </w:rPr>
                            </w:pPr>
                            <w:r w:rsidRPr="001239BE">
                              <w:rPr>
                                <w:rFonts w:ascii="Arial" w:hAnsi="Arial" w:cs="Arial"/>
                                <w:b/>
                                <w:sz w:val="18"/>
                                <w:szCs w:val="18"/>
                              </w:rPr>
                              <w:t>Abstract</w:t>
                            </w:r>
                          </w:p>
                          <w:p w14:paraId="1F67D239" w14:textId="77777777" w:rsidR="00504B2A" w:rsidRPr="00CB49DD" w:rsidRDefault="00504B2A" w:rsidP="00504B2A">
                            <w:pPr>
                              <w:pStyle w:val="NormalWeb"/>
                              <w:spacing w:before="0" w:beforeAutospacing="0" w:after="0" w:afterAutospacing="0"/>
                              <w:jc w:val="both"/>
                              <w:rPr>
                                <w:rFonts w:ascii="Arial" w:hAnsi="Arial" w:cs="Arial"/>
                                <w:sz w:val="18"/>
                                <w:szCs w:val="18"/>
                              </w:rPr>
                            </w:pPr>
                            <w:r w:rsidRPr="00CB49DD">
                              <w:rPr>
                                <w:rFonts w:ascii="Arial" w:hAnsi="Arial" w:cs="Arial"/>
                                <w:b/>
                                <w:bCs/>
                                <w:sz w:val="18"/>
                                <w:szCs w:val="18"/>
                              </w:rPr>
                              <w:t>Objective:</w:t>
                            </w:r>
                            <w:r w:rsidRPr="00CB49DD">
                              <w:rPr>
                                <w:rFonts w:ascii="Arial" w:hAnsi="Arial" w:cs="Arial"/>
                                <w:sz w:val="18"/>
                                <w:szCs w:val="18"/>
                              </w:rPr>
                              <w:t xml:space="preserve"> To identify preoperative prognostic factors associated with tendon-to-bone healing after arthroscopic repair of large rotator cuff tears augmented with platelet-rich fibrin (PRF).</w:t>
                            </w:r>
                          </w:p>
                          <w:p w14:paraId="6CF899CA" w14:textId="77777777" w:rsidR="00504B2A" w:rsidRPr="00CB49DD" w:rsidRDefault="00504B2A" w:rsidP="00504B2A">
                            <w:pPr>
                              <w:pStyle w:val="NormalWeb"/>
                              <w:spacing w:before="0" w:beforeAutospacing="0" w:after="0" w:afterAutospacing="0"/>
                              <w:jc w:val="both"/>
                              <w:rPr>
                                <w:rFonts w:ascii="Arial" w:hAnsi="Arial" w:cs="Arial"/>
                                <w:sz w:val="18"/>
                                <w:szCs w:val="18"/>
                              </w:rPr>
                            </w:pPr>
                            <w:r w:rsidRPr="00CB49DD">
                              <w:rPr>
                                <w:rFonts w:ascii="Arial" w:hAnsi="Arial" w:cs="Arial"/>
                                <w:b/>
                                <w:bCs/>
                                <w:sz w:val="18"/>
                                <w:szCs w:val="18"/>
                              </w:rPr>
                              <w:t>Methods:</w:t>
                            </w:r>
                            <w:r w:rsidRPr="00CB49DD">
                              <w:rPr>
                                <w:rFonts w:ascii="Arial" w:hAnsi="Arial" w:cs="Arial"/>
                                <w:sz w:val="18"/>
                                <w:szCs w:val="18"/>
                              </w:rPr>
                              <w:t xml:space="preserve"> A prospective study enrolled patients with large rotator cuff tears (3–5 cm) who underwent arthroscopic suture</w:t>
                            </w:r>
                            <w:r w:rsidRPr="00CB49DD">
                              <w:rPr>
                                <w:rFonts w:ascii="Arial" w:hAnsi="Arial" w:cs="Arial"/>
                                <w:sz w:val="18"/>
                                <w:szCs w:val="18"/>
                              </w:rPr>
                              <w:noBreakHyphen/>
                              <w:t>bridge repair with PRF augmentation. Preoperative clinical data, MRI findings, and intraoperative factors were analysed against 6</w:t>
                            </w:r>
                            <w:r w:rsidRPr="00CB49DD">
                              <w:rPr>
                                <w:rFonts w:ascii="Arial" w:hAnsi="Arial" w:cs="Arial"/>
                                <w:sz w:val="18"/>
                                <w:szCs w:val="18"/>
                              </w:rPr>
                              <w:noBreakHyphen/>
                              <w:t>month postoperative MRI tendon integrity (Sugaya classification). Univariate and multivariate logistic regression identified independent predictors.</w:t>
                            </w:r>
                          </w:p>
                          <w:p w14:paraId="1830C65B" w14:textId="77777777" w:rsidR="00504B2A" w:rsidRPr="00CB49DD" w:rsidRDefault="00504B2A" w:rsidP="00504B2A">
                            <w:pPr>
                              <w:pStyle w:val="NormalWeb"/>
                              <w:spacing w:before="0" w:beforeAutospacing="0" w:after="0" w:afterAutospacing="0"/>
                              <w:jc w:val="both"/>
                              <w:rPr>
                                <w:rFonts w:ascii="Arial" w:hAnsi="Arial" w:cs="Arial"/>
                                <w:sz w:val="18"/>
                                <w:szCs w:val="18"/>
                              </w:rPr>
                            </w:pPr>
                            <w:r w:rsidRPr="00CB49DD">
                              <w:rPr>
                                <w:rFonts w:ascii="Arial" w:hAnsi="Arial" w:cs="Arial"/>
                                <w:b/>
                                <w:bCs/>
                                <w:sz w:val="18"/>
                                <w:szCs w:val="18"/>
                              </w:rPr>
                              <w:t>Results:</w:t>
                            </w:r>
                            <w:r w:rsidRPr="00CB49DD">
                              <w:rPr>
                                <w:rFonts w:ascii="Arial" w:hAnsi="Arial" w:cs="Arial"/>
                                <w:sz w:val="18"/>
                                <w:szCs w:val="18"/>
                              </w:rPr>
                              <w:t xml:space="preserve"> Of 60 patients, 15 (25.0%) had a retear at 6 months. Univariate analysis showed that age, infraspinatus fatty infiltration grade 2, supraspinatus occupation ratio, infraspinatus occupation ratio, acromiohumeral distance, and </w:t>
                            </w:r>
                            <w:proofErr w:type="spellStart"/>
                            <w:r w:rsidRPr="00CB49DD">
                              <w:rPr>
                                <w:rFonts w:ascii="Arial" w:hAnsi="Arial" w:cs="Arial"/>
                                <w:sz w:val="18"/>
                                <w:szCs w:val="18"/>
                              </w:rPr>
                              <w:t>inferoglenohumeral</w:t>
                            </w:r>
                            <w:proofErr w:type="spellEnd"/>
                            <w:r w:rsidRPr="00CB49DD">
                              <w:rPr>
                                <w:rFonts w:ascii="Arial" w:hAnsi="Arial" w:cs="Arial"/>
                                <w:sz w:val="18"/>
                                <w:szCs w:val="18"/>
                              </w:rPr>
                              <w:t xml:space="preserve"> distance were significantly associated with retear. In multivariate analysis, only the supraspinatus occupation ratio remained an independent protective factor (OR = 0.70 per 1% increase; 95% CI: 0.51–0.94; p = 0.018). The model’s small event number (15 retears) limits precision; findings are exploratory.</w:t>
                            </w:r>
                          </w:p>
                          <w:p w14:paraId="22366129" w14:textId="77777777" w:rsidR="00504B2A" w:rsidRPr="00CB49DD" w:rsidRDefault="00504B2A" w:rsidP="00504B2A">
                            <w:pPr>
                              <w:pStyle w:val="NormalWeb"/>
                              <w:spacing w:before="0" w:beforeAutospacing="0" w:after="0" w:afterAutospacing="0"/>
                              <w:jc w:val="both"/>
                              <w:rPr>
                                <w:rFonts w:ascii="Arial" w:hAnsi="Arial" w:cs="Arial"/>
                                <w:sz w:val="18"/>
                                <w:szCs w:val="18"/>
                              </w:rPr>
                            </w:pPr>
                            <w:r w:rsidRPr="00CB49DD">
                              <w:rPr>
                                <w:rFonts w:ascii="Arial" w:hAnsi="Arial" w:cs="Arial"/>
                                <w:b/>
                                <w:bCs/>
                                <w:sz w:val="18"/>
                                <w:szCs w:val="18"/>
                              </w:rPr>
                              <w:t>Conclusion:</w:t>
                            </w:r>
                            <w:r w:rsidRPr="00CB49DD">
                              <w:rPr>
                                <w:rFonts w:ascii="Arial" w:hAnsi="Arial" w:cs="Arial"/>
                                <w:sz w:val="18"/>
                                <w:szCs w:val="18"/>
                              </w:rPr>
                              <w:t xml:space="preserve"> Preoperative supraspinatus occupation ratio on MRI is an independent prognostic factor for tendon healing after arthroscopic PRF</w:t>
                            </w:r>
                            <w:r w:rsidRPr="00CB49DD">
                              <w:rPr>
                                <w:rFonts w:ascii="Arial" w:hAnsi="Arial" w:cs="Arial"/>
                                <w:sz w:val="18"/>
                                <w:szCs w:val="18"/>
                              </w:rPr>
                              <w:noBreakHyphen/>
                              <w:t>augmented repair of large rotator cuff tears. Larger validation studies are needed.</w:t>
                            </w:r>
                          </w:p>
                          <w:p w14:paraId="1B3A1C0B" w14:textId="77777777" w:rsidR="00504B2A" w:rsidRDefault="00504B2A" w:rsidP="00504B2A">
                            <w:pPr>
                              <w:pStyle w:val="NormalWeb"/>
                              <w:spacing w:before="0" w:beforeAutospacing="0" w:after="0" w:afterAutospacing="0"/>
                              <w:jc w:val="both"/>
                              <w:rPr>
                                <w:rFonts w:ascii="Arial" w:hAnsi="Arial" w:cs="Arial"/>
                                <w:sz w:val="18"/>
                                <w:szCs w:val="18"/>
                              </w:rPr>
                            </w:pPr>
                          </w:p>
                          <w:p w14:paraId="1F5283AD" w14:textId="77777777" w:rsidR="00504B2A" w:rsidRDefault="00504B2A" w:rsidP="00504B2A">
                            <w:pPr>
                              <w:pStyle w:val="NormalWeb"/>
                              <w:spacing w:before="0" w:beforeAutospacing="0" w:after="0" w:afterAutospacing="0"/>
                              <w:jc w:val="center"/>
                              <w:rPr>
                                <w:rFonts w:ascii="Arial" w:hAnsi="Arial" w:cs="Arial"/>
                                <w:sz w:val="18"/>
                                <w:szCs w:val="18"/>
                              </w:rPr>
                            </w:pPr>
                            <w:r w:rsidRPr="00DA4EB6">
                              <w:rPr>
                                <w:rFonts w:ascii="Arial" w:hAnsi="Arial" w:cs="Arial"/>
                                <w:b/>
                                <w:bCs/>
                                <w:sz w:val="18"/>
                                <w:szCs w:val="18"/>
                              </w:rPr>
                              <w:t>Keywords:</w:t>
                            </w:r>
                            <w:r w:rsidRPr="00CB49DD">
                              <w:rPr>
                                <w:rFonts w:ascii="Arial" w:hAnsi="Arial" w:cs="Arial"/>
                                <w:sz w:val="18"/>
                                <w:szCs w:val="18"/>
                              </w:rPr>
                              <w:t xml:space="preserve"> Rotator cuff tear</w:t>
                            </w:r>
                            <w:r>
                              <w:rPr>
                                <w:rFonts w:ascii="Arial" w:hAnsi="Arial" w:cs="Arial"/>
                                <w:sz w:val="18"/>
                                <w:szCs w:val="18"/>
                              </w:rPr>
                              <w:t>,</w:t>
                            </w:r>
                            <w:r w:rsidRPr="00CB49DD">
                              <w:rPr>
                                <w:rFonts w:ascii="Arial" w:hAnsi="Arial" w:cs="Arial"/>
                                <w:sz w:val="18"/>
                                <w:szCs w:val="18"/>
                              </w:rPr>
                              <w:t xml:space="preserve"> </w:t>
                            </w:r>
                            <w:r>
                              <w:rPr>
                                <w:rFonts w:ascii="Arial" w:hAnsi="Arial" w:cs="Arial"/>
                                <w:sz w:val="18"/>
                                <w:szCs w:val="18"/>
                              </w:rPr>
                              <w:t>A</w:t>
                            </w:r>
                            <w:r w:rsidRPr="00CB49DD">
                              <w:rPr>
                                <w:rFonts w:ascii="Arial" w:hAnsi="Arial" w:cs="Arial"/>
                                <w:sz w:val="18"/>
                                <w:szCs w:val="18"/>
                              </w:rPr>
                              <w:t>rthroscopic repair</w:t>
                            </w:r>
                            <w:r>
                              <w:rPr>
                                <w:rFonts w:ascii="Arial" w:hAnsi="Arial" w:cs="Arial"/>
                                <w:sz w:val="18"/>
                                <w:szCs w:val="18"/>
                              </w:rPr>
                              <w:t>,</w:t>
                            </w:r>
                            <w:r w:rsidRPr="00CB49DD">
                              <w:rPr>
                                <w:rFonts w:ascii="Arial" w:hAnsi="Arial" w:cs="Arial"/>
                                <w:sz w:val="18"/>
                                <w:szCs w:val="18"/>
                              </w:rPr>
                              <w:t xml:space="preserve"> </w:t>
                            </w:r>
                            <w:r>
                              <w:rPr>
                                <w:rFonts w:ascii="Arial" w:hAnsi="Arial" w:cs="Arial"/>
                                <w:sz w:val="18"/>
                                <w:szCs w:val="18"/>
                              </w:rPr>
                              <w:t>P</w:t>
                            </w:r>
                            <w:r w:rsidRPr="00CB49DD">
                              <w:rPr>
                                <w:rFonts w:ascii="Arial" w:hAnsi="Arial" w:cs="Arial"/>
                                <w:sz w:val="18"/>
                                <w:szCs w:val="18"/>
                              </w:rPr>
                              <w:t>latelet-rich fibrin</w:t>
                            </w:r>
                            <w:r>
                              <w:rPr>
                                <w:rFonts w:ascii="Arial" w:hAnsi="Arial" w:cs="Arial"/>
                                <w:sz w:val="18"/>
                                <w:szCs w:val="18"/>
                              </w:rPr>
                              <w:t>, S</w:t>
                            </w:r>
                            <w:r w:rsidRPr="00CB49DD">
                              <w:rPr>
                                <w:rFonts w:ascii="Arial" w:hAnsi="Arial" w:cs="Arial"/>
                                <w:sz w:val="18"/>
                                <w:szCs w:val="18"/>
                              </w:rPr>
                              <w:t>upraspinatus muscle atrophy</w:t>
                            </w:r>
                            <w:r>
                              <w:rPr>
                                <w:rFonts w:ascii="Arial" w:hAnsi="Arial" w:cs="Arial"/>
                                <w:sz w:val="18"/>
                                <w:szCs w:val="18"/>
                              </w:rPr>
                              <w:t>, P</w:t>
                            </w:r>
                            <w:r w:rsidRPr="00CB49DD">
                              <w:rPr>
                                <w:rFonts w:ascii="Arial" w:hAnsi="Arial" w:cs="Arial"/>
                                <w:sz w:val="18"/>
                                <w:szCs w:val="18"/>
                              </w:rPr>
                              <w:t>rognostic factor</w:t>
                            </w:r>
                          </w:p>
                          <w:p w14:paraId="62E6EE56" w14:textId="77777777" w:rsidR="00504B2A" w:rsidRPr="00122E71" w:rsidRDefault="00504B2A" w:rsidP="00504B2A">
                            <w:pPr>
                              <w:spacing w:after="0" w:line="240" w:lineRule="auto"/>
                              <w:jc w:val="both"/>
                              <w:rPr>
                                <w:rFonts w:ascii="Arial" w:hAnsi="Arial" w:cs="Arial"/>
                                <w:bCs/>
                                <w:sz w:val="18"/>
                                <w:szCs w:val="18"/>
                              </w:rP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3E3F64" id="Rectangle 17" o:spid="_x0000_s1026" style="position:absolute;left:0;text-align:left;margin-left:398.8pt;margin-top:11.3pt;width:450pt;height:204.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" fillcolor="#5b9bd5" strokecolor="#41719c" strokeweight="1pt">
                <v:textbox>
                  <w:txbxContent>
                    <w:p w14:paraId="09A1F029" w14:textId="77777777" w:rsidR="00504B2A" w:rsidRDefault="00504B2A" w:rsidP="00504B2A">
                      <w:pPr>
                        <w:spacing w:after="0" w:line="240" w:lineRule="auto"/>
                        <w:jc w:val="both"/>
                        <w:rPr>
                          <w:rFonts w:ascii="Arial" w:hAnsi="Arial" w:cs="Arial"/>
                          <w:b/>
                          <w:sz w:val="18"/>
                          <w:szCs w:val="18"/>
                        </w:rPr>
                      </w:pPr>
                      <w:r w:rsidRPr="001239BE">
                        <w:rPr>
                          <w:rFonts w:ascii="Arial" w:hAnsi="Arial" w:cs="Arial"/>
                          <w:b/>
                          <w:sz w:val="18"/>
                          <w:szCs w:val="18"/>
                        </w:rPr>
                        <w:t>Abstract</w:t>
                      </w:r>
                    </w:p>
                    <w:p w14:paraId="1F67D239" w14:textId="77777777" w:rsidR="00504B2A" w:rsidRPr="00CB49DD" w:rsidRDefault="00504B2A" w:rsidP="00504B2A">
                      <w:pPr>
                        <w:pStyle w:val="NormalWeb"/>
                        <w:spacing w:before="0" w:beforeAutospacing="0" w:after="0" w:afterAutospacing="0"/>
                        <w:jc w:val="both"/>
                        <w:rPr>
                          <w:rFonts w:ascii="Arial" w:hAnsi="Arial" w:cs="Arial"/>
                          <w:sz w:val="18"/>
                          <w:szCs w:val="18"/>
                        </w:rPr>
                      </w:pPr>
                      <w:r w:rsidRPr="00CB49DD">
                        <w:rPr>
                          <w:rFonts w:ascii="Arial" w:hAnsi="Arial" w:cs="Arial"/>
                          <w:b/>
                          <w:bCs/>
                          <w:sz w:val="18"/>
                          <w:szCs w:val="18"/>
                        </w:rPr>
                        <w:t>Objective:</w:t>
                      </w:r>
                      <w:r w:rsidRPr="00CB49DD">
                        <w:rPr>
                          <w:rFonts w:ascii="Arial" w:hAnsi="Arial" w:cs="Arial"/>
                          <w:sz w:val="18"/>
                          <w:szCs w:val="18"/>
                        </w:rPr>
                        <w:t xml:space="preserve"> To identify preoperative prognostic factors associated with tendon-to-bone healing after arthroscopic repair of large rotator cuff tears augmented with platelet-rich fibrin (PRF).</w:t>
                      </w:r>
                    </w:p>
                    <w:p w14:paraId="6CF899CA" w14:textId="77777777" w:rsidR="00504B2A" w:rsidRPr="00CB49DD" w:rsidRDefault="00504B2A" w:rsidP="00504B2A">
                      <w:pPr>
                        <w:pStyle w:val="NormalWeb"/>
                        <w:spacing w:before="0" w:beforeAutospacing="0" w:after="0" w:afterAutospacing="0"/>
                        <w:jc w:val="both"/>
                        <w:rPr>
                          <w:rFonts w:ascii="Arial" w:hAnsi="Arial" w:cs="Arial"/>
                          <w:sz w:val="18"/>
                          <w:szCs w:val="18"/>
                        </w:rPr>
                      </w:pPr>
                      <w:r w:rsidRPr="00CB49DD">
                        <w:rPr>
                          <w:rFonts w:ascii="Arial" w:hAnsi="Arial" w:cs="Arial"/>
                          <w:b/>
                          <w:bCs/>
                          <w:sz w:val="18"/>
                          <w:szCs w:val="18"/>
                        </w:rPr>
                        <w:t>Methods:</w:t>
                      </w:r>
                      <w:r w:rsidRPr="00CB49DD">
                        <w:rPr>
                          <w:rFonts w:ascii="Arial" w:hAnsi="Arial" w:cs="Arial"/>
                          <w:sz w:val="18"/>
                          <w:szCs w:val="18"/>
                        </w:rPr>
                        <w:t xml:space="preserve"> A prospective study enrolled patients with large rotator cuff tears (3–5 cm) who underwent arthroscopic suture</w:t>
                      </w:r>
                      <w:r w:rsidRPr="00CB49DD">
                        <w:rPr>
                          <w:rFonts w:ascii="Arial" w:hAnsi="Arial" w:cs="Arial"/>
                          <w:sz w:val="18"/>
                          <w:szCs w:val="18"/>
                        </w:rPr>
                        <w:noBreakHyphen/>
                        <w:t>bridge repair with PRF augmentation. Preoperative clinical data, MRI findings, and intraoperative factors were analysed against 6</w:t>
                      </w:r>
                      <w:r w:rsidRPr="00CB49DD">
                        <w:rPr>
                          <w:rFonts w:ascii="Arial" w:hAnsi="Arial" w:cs="Arial"/>
                          <w:sz w:val="18"/>
                          <w:szCs w:val="18"/>
                        </w:rPr>
                        <w:noBreakHyphen/>
                        <w:t>month postoperative MRI tendon integrity (Sugaya classification). Univariate and multivariate logistic regression identified independent predictors.</w:t>
                      </w:r>
                    </w:p>
                    <w:p w14:paraId="1830C65B" w14:textId="77777777" w:rsidR="00504B2A" w:rsidRPr="00CB49DD" w:rsidRDefault="00504B2A" w:rsidP="00504B2A">
                      <w:pPr>
                        <w:pStyle w:val="NormalWeb"/>
                        <w:spacing w:before="0" w:beforeAutospacing="0" w:after="0" w:afterAutospacing="0"/>
                        <w:jc w:val="both"/>
                        <w:rPr>
                          <w:rFonts w:ascii="Arial" w:hAnsi="Arial" w:cs="Arial"/>
                          <w:sz w:val="18"/>
                          <w:szCs w:val="18"/>
                        </w:rPr>
                      </w:pPr>
                      <w:r w:rsidRPr="00CB49DD">
                        <w:rPr>
                          <w:rFonts w:ascii="Arial" w:hAnsi="Arial" w:cs="Arial"/>
                          <w:b/>
                          <w:bCs/>
                          <w:sz w:val="18"/>
                          <w:szCs w:val="18"/>
                        </w:rPr>
                        <w:t>Results:</w:t>
                      </w:r>
                      <w:r w:rsidRPr="00CB49DD">
                        <w:rPr>
                          <w:rFonts w:ascii="Arial" w:hAnsi="Arial" w:cs="Arial"/>
                          <w:sz w:val="18"/>
                          <w:szCs w:val="18"/>
                        </w:rPr>
                        <w:t xml:space="preserve"> Of 60 patients, 15 (25.0%) had a retear at 6 months. Univariate analysis showed that age, infraspinatus fatty infiltration grade 2, supraspinatus occupation ratio, infraspinatus occupation ratio, acromiohumeral distance, and </w:t>
                      </w:r>
                      <w:proofErr w:type="spellStart"/>
                      <w:r w:rsidRPr="00CB49DD">
                        <w:rPr>
                          <w:rFonts w:ascii="Arial" w:hAnsi="Arial" w:cs="Arial"/>
                          <w:sz w:val="18"/>
                          <w:szCs w:val="18"/>
                        </w:rPr>
                        <w:t>inferoglenohumeral</w:t>
                      </w:r>
                      <w:proofErr w:type="spellEnd"/>
                      <w:r w:rsidRPr="00CB49DD">
                        <w:rPr>
                          <w:rFonts w:ascii="Arial" w:hAnsi="Arial" w:cs="Arial"/>
                          <w:sz w:val="18"/>
                          <w:szCs w:val="18"/>
                        </w:rPr>
                        <w:t xml:space="preserve"> distance were significantly associated with retear. In multivariate analysis, only the supraspinatus occupation ratio remained an independent protective factor (OR = 0.70 per 1% increase; 95% CI: 0.51–0.94; p = 0.018). The model’s small event number (15 retears) limits precision; findings are exploratory.</w:t>
                      </w:r>
                    </w:p>
                    <w:p w14:paraId="22366129" w14:textId="77777777" w:rsidR="00504B2A" w:rsidRPr="00CB49DD" w:rsidRDefault="00504B2A" w:rsidP="00504B2A">
                      <w:pPr>
                        <w:pStyle w:val="NormalWeb"/>
                        <w:spacing w:before="0" w:beforeAutospacing="0" w:after="0" w:afterAutospacing="0"/>
                        <w:jc w:val="both"/>
                        <w:rPr>
                          <w:rFonts w:ascii="Arial" w:hAnsi="Arial" w:cs="Arial"/>
                          <w:sz w:val="18"/>
                          <w:szCs w:val="18"/>
                        </w:rPr>
                      </w:pPr>
                      <w:r w:rsidRPr="00CB49DD">
                        <w:rPr>
                          <w:rFonts w:ascii="Arial" w:hAnsi="Arial" w:cs="Arial"/>
                          <w:b/>
                          <w:bCs/>
                          <w:sz w:val="18"/>
                          <w:szCs w:val="18"/>
                        </w:rPr>
                        <w:t>Conclusion:</w:t>
                      </w:r>
                      <w:r w:rsidRPr="00CB49DD">
                        <w:rPr>
                          <w:rFonts w:ascii="Arial" w:hAnsi="Arial" w:cs="Arial"/>
                          <w:sz w:val="18"/>
                          <w:szCs w:val="18"/>
                        </w:rPr>
                        <w:t xml:space="preserve"> Preoperative supraspinatus occupation ratio on MRI is an independent prognostic factor for tendon healing after arthroscopic PRF</w:t>
                      </w:r>
                      <w:r w:rsidRPr="00CB49DD">
                        <w:rPr>
                          <w:rFonts w:ascii="Arial" w:hAnsi="Arial" w:cs="Arial"/>
                          <w:sz w:val="18"/>
                          <w:szCs w:val="18"/>
                        </w:rPr>
                        <w:noBreakHyphen/>
                        <w:t>augmented repair of large rotator cuff tears. Larger validation studies are needed.</w:t>
                      </w:r>
                    </w:p>
                    <w:p w14:paraId="1B3A1C0B" w14:textId="77777777" w:rsidR="00504B2A" w:rsidRDefault="00504B2A" w:rsidP="00504B2A">
                      <w:pPr>
                        <w:pStyle w:val="NormalWeb"/>
                        <w:spacing w:before="0" w:beforeAutospacing="0" w:after="0" w:afterAutospacing="0"/>
                        <w:jc w:val="both"/>
                        <w:rPr>
                          <w:rFonts w:ascii="Arial" w:hAnsi="Arial" w:cs="Arial"/>
                          <w:sz w:val="18"/>
                          <w:szCs w:val="18"/>
                        </w:rPr>
                      </w:pPr>
                    </w:p>
                    <w:p w14:paraId="1F5283AD" w14:textId="77777777" w:rsidR="00504B2A" w:rsidRDefault="00504B2A" w:rsidP="00504B2A">
                      <w:pPr>
                        <w:pStyle w:val="NormalWeb"/>
                        <w:spacing w:before="0" w:beforeAutospacing="0" w:after="0" w:afterAutospacing="0"/>
                        <w:jc w:val="center"/>
                        <w:rPr>
                          <w:rFonts w:ascii="Arial" w:hAnsi="Arial" w:cs="Arial"/>
                          <w:sz w:val="18"/>
                          <w:szCs w:val="18"/>
                        </w:rPr>
                      </w:pPr>
                      <w:r w:rsidRPr="00DA4EB6">
                        <w:rPr>
                          <w:rFonts w:ascii="Arial" w:hAnsi="Arial" w:cs="Arial"/>
                          <w:b/>
                          <w:bCs/>
                          <w:sz w:val="18"/>
                          <w:szCs w:val="18"/>
                        </w:rPr>
                        <w:t>Keywords:</w:t>
                      </w:r>
                      <w:r w:rsidRPr="00CB49DD">
                        <w:rPr>
                          <w:rFonts w:ascii="Arial" w:hAnsi="Arial" w:cs="Arial"/>
                          <w:sz w:val="18"/>
                          <w:szCs w:val="18"/>
                        </w:rPr>
                        <w:t xml:space="preserve"> Rotator cuff tear</w:t>
                      </w:r>
                      <w:r>
                        <w:rPr>
                          <w:rFonts w:ascii="Arial" w:hAnsi="Arial" w:cs="Arial"/>
                          <w:sz w:val="18"/>
                          <w:szCs w:val="18"/>
                        </w:rPr>
                        <w:t>,</w:t>
                      </w:r>
                      <w:r w:rsidRPr="00CB49DD">
                        <w:rPr>
                          <w:rFonts w:ascii="Arial" w:hAnsi="Arial" w:cs="Arial"/>
                          <w:sz w:val="18"/>
                          <w:szCs w:val="18"/>
                        </w:rPr>
                        <w:t xml:space="preserve"> </w:t>
                      </w:r>
                      <w:r>
                        <w:rPr>
                          <w:rFonts w:ascii="Arial" w:hAnsi="Arial" w:cs="Arial"/>
                          <w:sz w:val="18"/>
                          <w:szCs w:val="18"/>
                        </w:rPr>
                        <w:t>A</w:t>
                      </w:r>
                      <w:r w:rsidRPr="00CB49DD">
                        <w:rPr>
                          <w:rFonts w:ascii="Arial" w:hAnsi="Arial" w:cs="Arial"/>
                          <w:sz w:val="18"/>
                          <w:szCs w:val="18"/>
                        </w:rPr>
                        <w:t>rthroscopic repair</w:t>
                      </w:r>
                      <w:r>
                        <w:rPr>
                          <w:rFonts w:ascii="Arial" w:hAnsi="Arial" w:cs="Arial"/>
                          <w:sz w:val="18"/>
                          <w:szCs w:val="18"/>
                        </w:rPr>
                        <w:t>,</w:t>
                      </w:r>
                      <w:r w:rsidRPr="00CB49DD">
                        <w:rPr>
                          <w:rFonts w:ascii="Arial" w:hAnsi="Arial" w:cs="Arial"/>
                          <w:sz w:val="18"/>
                          <w:szCs w:val="18"/>
                        </w:rPr>
                        <w:t xml:space="preserve"> </w:t>
                      </w:r>
                      <w:r>
                        <w:rPr>
                          <w:rFonts w:ascii="Arial" w:hAnsi="Arial" w:cs="Arial"/>
                          <w:sz w:val="18"/>
                          <w:szCs w:val="18"/>
                        </w:rPr>
                        <w:t>P</w:t>
                      </w:r>
                      <w:r w:rsidRPr="00CB49DD">
                        <w:rPr>
                          <w:rFonts w:ascii="Arial" w:hAnsi="Arial" w:cs="Arial"/>
                          <w:sz w:val="18"/>
                          <w:szCs w:val="18"/>
                        </w:rPr>
                        <w:t>latelet-rich fibrin</w:t>
                      </w:r>
                      <w:r>
                        <w:rPr>
                          <w:rFonts w:ascii="Arial" w:hAnsi="Arial" w:cs="Arial"/>
                          <w:sz w:val="18"/>
                          <w:szCs w:val="18"/>
                        </w:rPr>
                        <w:t>, S</w:t>
                      </w:r>
                      <w:r w:rsidRPr="00CB49DD">
                        <w:rPr>
                          <w:rFonts w:ascii="Arial" w:hAnsi="Arial" w:cs="Arial"/>
                          <w:sz w:val="18"/>
                          <w:szCs w:val="18"/>
                        </w:rPr>
                        <w:t>upraspinatus muscle atrophy</w:t>
                      </w:r>
                      <w:r>
                        <w:rPr>
                          <w:rFonts w:ascii="Arial" w:hAnsi="Arial" w:cs="Arial"/>
                          <w:sz w:val="18"/>
                          <w:szCs w:val="18"/>
                        </w:rPr>
                        <w:t>, P</w:t>
                      </w:r>
                      <w:r w:rsidRPr="00CB49DD">
                        <w:rPr>
                          <w:rFonts w:ascii="Arial" w:hAnsi="Arial" w:cs="Arial"/>
                          <w:sz w:val="18"/>
                          <w:szCs w:val="18"/>
                        </w:rPr>
                        <w:t>rognostic factor</w:t>
                      </w:r>
                    </w:p>
                    <w:p w14:paraId="62E6EE56" w14:textId="77777777" w:rsidR="00504B2A" w:rsidRPr="00122E71" w:rsidRDefault="00504B2A" w:rsidP="00504B2A">
                      <w:pPr>
                        <w:spacing w:after="0" w:line="240" w:lineRule="auto"/>
                        <w:jc w:val="both"/>
                        <w:rPr>
                          <w:rFonts w:ascii="Arial" w:hAnsi="Arial" w:cs="Arial"/>
                          <w:bCs/>
                          <w:sz w:val="18"/>
                          <w:szCs w:val="18"/>
                        </w:rPr>
                      </w:pPr>
                    </w:p>
                  </w:txbxContent>
                </v:textbox>
                <w10:wrap anchorx="margin"/>
              </v:rect>
            </w:pict>
          </mc:Fallback>
        </mc:AlternateContent>
      </w:r>
    </w:p>
    <w:p w14:paraId="45C98F80" w14:textId="5008A095" w:rsidR="00EC115F" w:rsidRDefault="00EC115F" w:rsidP="00094BE8">
      <w:pPr>
        <w:pStyle w:val="NormalWeb"/>
        <w:spacing w:before="0" w:beforeAutospacing="0" w:after="0" w:afterAutospacing="0"/>
        <w:jc w:val="both"/>
        <w:rPr>
          <w:rFonts w:ascii="Arial" w:hAnsi="Arial" w:cs="Arial"/>
          <w:sz w:val="20"/>
          <w:szCs w:val="20"/>
        </w:rPr>
      </w:pPr>
    </w:p>
    <w:p w14:paraId="0353782D" w14:textId="77777777" w:rsidR="00EC115F" w:rsidRDefault="00EC115F" w:rsidP="00094BE8">
      <w:pPr>
        <w:pStyle w:val="NormalWeb"/>
        <w:spacing w:before="0" w:beforeAutospacing="0" w:after="0" w:afterAutospacing="0"/>
        <w:jc w:val="both"/>
        <w:rPr>
          <w:rFonts w:ascii="Arial" w:hAnsi="Arial" w:cs="Arial"/>
          <w:sz w:val="20"/>
          <w:szCs w:val="20"/>
        </w:rPr>
      </w:pPr>
    </w:p>
    <w:p w14:paraId="17D8F8B1" w14:textId="77777777" w:rsidR="00EC115F" w:rsidRDefault="00EC115F" w:rsidP="00094BE8">
      <w:pPr>
        <w:pStyle w:val="NormalWeb"/>
        <w:spacing w:before="0" w:beforeAutospacing="0" w:after="0" w:afterAutospacing="0"/>
        <w:jc w:val="both"/>
        <w:rPr>
          <w:rFonts w:ascii="Arial" w:hAnsi="Arial" w:cs="Arial"/>
          <w:sz w:val="20"/>
          <w:szCs w:val="20"/>
        </w:rPr>
      </w:pPr>
    </w:p>
    <w:p w14:paraId="3D8397BF" w14:textId="77777777" w:rsidR="00EC115F" w:rsidRDefault="00EC115F" w:rsidP="00094BE8">
      <w:pPr>
        <w:pStyle w:val="NormalWeb"/>
        <w:spacing w:before="0" w:beforeAutospacing="0" w:after="0" w:afterAutospacing="0"/>
        <w:jc w:val="both"/>
        <w:rPr>
          <w:rFonts w:ascii="Arial" w:hAnsi="Arial" w:cs="Arial"/>
          <w:sz w:val="20"/>
          <w:szCs w:val="20"/>
        </w:rPr>
      </w:pPr>
    </w:p>
    <w:p w14:paraId="3D2843E6" w14:textId="77777777" w:rsidR="00EC115F" w:rsidRDefault="00EC115F" w:rsidP="00094BE8">
      <w:pPr>
        <w:pStyle w:val="NormalWeb"/>
        <w:spacing w:before="0" w:beforeAutospacing="0" w:after="0" w:afterAutospacing="0"/>
        <w:jc w:val="both"/>
        <w:rPr>
          <w:rFonts w:ascii="Arial" w:hAnsi="Arial" w:cs="Arial"/>
          <w:sz w:val="20"/>
          <w:szCs w:val="20"/>
        </w:rPr>
      </w:pPr>
    </w:p>
    <w:p w14:paraId="3A3E1532" w14:textId="77777777" w:rsidR="00EC115F" w:rsidRDefault="00EC115F" w:rsidP="00094BE8">
      <w:pPr>
        <w:pStyle w:val="NormalWeb"/>
        <w:spacing w:before="0" w:beforeAutospacing="0" w:after="0" w:afterAutospacing="0"/>
        <w:jc w:val="both"/>
        <w:rPr>
          <w:rFonts w:ascii="Arial" w:hAnsi="Arial" w:cs="Arial"/>
          <w:sz w:val="20"/>
          <w:szCs w:val="20"/>
        </w:rPr>
      </w:pPr>
    </w:p>
    <w:p w14:paraId="2F8746A5" w14:textId="77777777" w:rsidR="00EC115F" w:rsidRDefault="00EC115F" w:rsidP="00094BE8">
      <w:pPr>
        <w:pStyle w:val="NormalWeb"/>
        <w:spacing w:before="0" w:beforeAutospacing="0" w:after="0" w:afterAutospacing="0"/>
        <w:jc w:val="both"/>
        <w:rPr>
          <w:rFonts w:ascii="Arial" w:hAnsi="Arial" w:cs="Arial"/>
          <w:sz w:val="20"/>
          <w:szCs w:val="20"/>
        </w:rPr>
      </w:pPr>
    </w:p>
    <w:p w14:paraId="7142D878" w14:textId="77777777" w:rsidR="00EC115F" w:rsidRDefault="00EC115F" w:rsidP="00094BE8">
      <w:pPr>
        <w:pStyle w:val="NormalWeb"/>
        <w:spacing w:before="0" w:beforeAutospacing="0" w:after="0" w:afterAutospacing="0"/>
        <w:jc w:val="both"/>
        <w:rPr>
          <w:rFonts w:ascii="Arial" w:hAnsi="Arial" w:cs="Arial"/>
          <w:sz w:val="20"/>
          <w:szCs w:val="20"/>
        </w:rPr>
      </w:pPr>
    </w:p>
    <w:p w14:paraId="7C8E3745" w14:textId="77777777" w:rsidR="00EC115F" w:rsidRDefault="00EC115F" w:rsidP="00094BE8">
      <w:pPr>
        <w:pStyle w:val="NormalWeb"/>
        <w:spacing w:before="0" w:beforeAutospacing="0" w:after="0" w:afterAutospacing="0"/>
        <w:jc w:val="both"/>
        <w:rPr>
          <w:rFonts w:ascii="Arial" w:hAnsi="Arial" w:cs="Arial"/>
          <w:sz w:val="20"/>
          <w:szCs w:val="20"/>
        </w:rPr>
      </w:pPr>
    </w:p>
    <w:p w14:paraId="39C63529" w14:textId="77777777" w:rsidR="00EC115F" w:rsidRDefault="00EC115F" w:rsidP="00094BE8">
      <w:pPr>
        <w:pStyle w:val="NormalWeb"/>
        <w:spacing w:before="0" w:beforeAutospacing="0" w:after="0" w:afterAutospacing="0"/>
        <w:jc w:val="both"/>
        <w:rPr>
          <w:rFonts w:ascii="Arial" w:hAnsi="Arial" w:cs="Arial"/>
          <w:sz w:val="20"/>
          <w:szCs w:val="20"/>
        </w:rPr>
      </w:pPr>
    </w:p>
    <w:p w14:paraId="7E7B6CDD" w14:textId="77777777" w:rsidR="00EC115F" w:rsidRDefault="00EC115F" w:rsidP="00094BE8">
      <w:pPr>
        <w:pStyle w:val="NormalWeb"/>
        <w:spacing w:before="0" w:beforeAutospacing="0" w:after="0" w:afterAutospacing="0"/>
        <w:jc w:val="both"/>
        <w:rPr>
          <w:rFonts w:ascii="Arial" w:hAnsi="Arial" w:cs="Arial"/>
          <w:sz w:val="20"/>
          <w:szCs w:val="20"/>
        </w:rPr>
      </w:pPr>
    </w:p>
    <w:p w14:paraId="543A87B1" w14:textId="77777777" w:rsidR="00EC115F" w:rsidRDefault="00EC115F" w:rsidP="00094BE8">
      <w:pPr>
        <w:pStyle w:val="NormalWeb"/>
        <w:spacing w:before="0" w:beforeAutospacing="0" w:after="0" w:afterAutospacing="0"/>
        <w:jc w:val="both"/>
        <w:rPr>
          <w:rFonts w:ascii="Arial" w:hAnsi="Arial" w:cs="Arial"/>
          <w:sz w:val="20"/>
          <w:szCs w:val="20"/>
        </w:rPr>
      </w:pPr>
    </w:p>
    <w:p w14:paraId="62BD648C" w14:textId="77777777" w:rsidR="00EC115F" w:rsidRDefault="00EC115F" w:rsidP="00094BE8">
      <w:pPr>
        <w:pStyle w:val="NormalWeb"/>
        <w:spacing w:before="0" w:beforeAutospacing="0" w:after="0" w:afterAutospacing="0"/>
        <w:jc w:val="both"/>
        <w:rPr>
          <w:rFonts w:ascii="Arial" w:hAnsi="Arial" w:cs="Arial"/>
          <w:sz w:val="20"/>
          <w:szCs w:val="20"/>
        </w:rPr>
      </w:pPr>
    </w:p>
    <w:p w14:paraId="75791E45" w14:textId="77777777" w:rsidR="00EC115F" w:rsidRDefault="00EC115F" w:rsidP="00094BE8">
      <w:pPr>
        <w:pStyle w:val="NormalWeb"/>
        <w:spacing w:before="0" w:beforeAutospacing="0" w:after="0" w:afterAutospacing="0"/>
        <w:jc w:val="both"/>
        <w:rPr>
          <w:rFonts w:ascii="Arial" w:hAnsi="Arial" w:cs="Arial"/>
          <w:sz w:val="20"/>
          <w:szCs w:val="20"/>
        </w:rPr>
      </w:pPr>
    </w:p>
    <w:p w14:paraId="6F6A57E3" w14:textId="77777777" w:rsidR="00EC115F" w:rsidRDefault="00EC115F" w:rsidP="00094BE8">
      <w:pPr>
        <w:pStyle w:val="NormalWeb"/>
        <w:spacing w:before="0" w:beforeAutospacing="0" w:after="0" w:afterAutospacing="0"/>
        <w:jc w:val="both"/>
        <w:rPr>
          <w:rFonts w:ascii="Arial" w:hAnsi="Arial" w:cs="Arial"/>
          <w:sz w:val="20"/>
          <w:szCs w:val="20"/>
        </w:rPr>
      </w:pPr>
    </w:p>
    <w:p w14:paraId="59B1EA48" w14:textId="77777777" w:rsidR="00EC115F" w:rsidRDefault="00EC115F" w:rsidP="00094BE8">
      <w:pPr>
        <w:pStyle w:val="NormalWeb"/>
        <w:spacing w:before="0" w:beforeAutospacing="0" w:after="0" w:afterAutospacing="0"/>
        <w:jc w:val="both"/>
        <w:rPr>
          <w:rFonts w:ascii="Arial" w:hAnsi="Arial" w:cs="Arial"/>
          <w:sz w:val="20"/>
          <w:szCs w:val="20"/>
        </w:rPr>
      </w:pPr>
    </w:p>
    <w:p w14:paraId="51DE1444" w14:textId="77777777" w:rsidR="00EC115F" w:rsidRDefault="00EC115F" w:rsidP="00094BE8">
      <w:pPr>
        <w:pStyle w:val="NormalWeb"/>
        <w:spacing w:before="0" w:beforeAutospacing="0" w:after="0" w:afterAutospacing="0"/>
        <w:jc w:val="both"/>
        <w:rPr>
          <w:rFonts w:ascii="Arial" w:hAnsi="Arial" w:cs="Arial"/>
          <w:sz w:val="20"/>
          <w:szCs w:val="20"/>
        </w:rPr>
      </w:pPr>
    </w:p>
    <w:p w14:paraId="04F5E97E" w14:textId="77777777" w:rsidR="00EC115F" w:rsidRDefault="00EC115F" w:rsidP="00094BE8">
      <w:pPr>
        <w:pStyle w:val="NormalWeb"/>
        <w:spacing w:before="0" w:beforeAutospacing="0" w:after="0" w:afterAutospacing="0"/>
        <w:jc w:val="both"/>
        <w:rPr>
          <w:rFonts w:ascii="Arial" w:hAnsi="Arial" w:cs="Arial"/>
          <w:sz w:val="20"/>
          <w:szCs w:val="20"/>
        </w:rPr>
      </w:pPr>
    </w:p>
    <w:p w14:paraId="285674E0" w14:textId="77777777" w:rsidR="00CB49DD" w:rsidRPr="00094BE8" w:rsidRDefault="00CB49DD" w:rsidP="00094BE8">
      <w:pPr>
        <w:pStyle w:val="NormalWeb"/>
        <w:spacing w:before="0" w:beforeAutospacing="0" w:after="0" w:afterAutospacing="0"/>
        <w:jc w:val="both"/>
        <w:rPr>
          <w:rFonts w:ascii="Arial" w:hAnsi="Arial" w:cs="Arial"/>
          <w:sz w:val="20"/>
          <w:szCs w:val="20"/>
        </w:rPr>
      </w:pPr>
    </w:p>
    <w:p w14:paraId="46883C34" w14:textId="39E7B741" w:rsidR="00CB49DD" w:rsidRPr="00CB49DD" w:rsidRDefault="00CB49DD" w:rsidP="00094BE8">
      <w:pPr>
        <w:pStyle w:val="NormalWeb"/>
        <w:spacing w:before="0" w:beforeAutospacing="0" w:after="0" w:afterAutospacing="0"/>
        <w:jc w:val="both"/>
        <w:rPr>
          <w:rFonts w:ascii="Arial" w:hAnsi="Arial" w:cs="Arial"/>
          <w:b/>
          <w:bCs/>
          <w:sz w:val="20"/>
          <w:szCs w:val="20"/>
        </w:rPr>
      </w:pPr>
      <w:r w:rsidRPr="00CB49DD">
        <w:rPr>
          <w:rFonts w:ascii="Arial" w:hAnsi="Arial" w:cs="Arial"/>
          <w:b/>
          <w:bCs/>
          <w:sz w:val="20"/>
          <w:szCs w:val="20"/>
        </w:rPr>
        <w:t>Plain English Summary</w:t>
      </w:r>
    </w:p>
    <w:p w14:paraId="4EF3DBA4" w14:textId="15C520CE" w:rsid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Rotator cuff tears are common shoulder injuries that often require surgery. Even after successful repair, the tendon can re</w:t>
      </w:r>
      <w:r w:rsidRPr="00094BE8">
        <w:rPr>
          <w:rFonts w:ascii="Arial" w:hAnsi="Arial" w:cs="Arial"/>
          <w:sz w:val="20"/>
          <w:szCs w:val="20"/>
        </w:rPr>
        <w:noBreakHyphen/>
        <w:t>tear in up to 40% of patients. This study examined which factors predict successful healing after arthroscopic repair combined with platelet</w:t>
      </w:r>
      <w:r w:rsidRPr="00094BE8">
        <w:rPr>
          <w:rFonts w:ascii="Arial" w:hAnsi="Arial" w:cs="Arial"/>
          <w:sz w:val="20"/>
          <w:szCs w:val="20"/>
        </w:rPr>
        <w:noBreakHyphen/>
        <w:t>rich fibrin (a blood product that may promote healing). We studied 60 patients with large rotator cuff tears (3–5 cm). We found that the amount of healthy supraspinatus muscle visible on preoperative MRI was the single most important predictor of tendon healing. Patients with greater muscle bulk had significantly lower re</w:t>
      </w:r>
      <w:r w:rsidRPr="00094BE8">
        <w:rPr>
          <w:rFonts w:ascii="Arial" w:hAnsi="Arial" w:cs="Arial"/>
          <w:sz w:val="20"/>
          <w:szCs w:val="20"/>
        </w:rPr>
        <w:noBreakHyphen/>
        <w:t>tear rates. Because only 15 patients experienced a re</w:t>
      </w:r>
      <w:r w:rsidRPr="00094BE8">
        <w:rPr>
          <w:rFonts w:ascii="Arial" w:hAnsi="Arial" w:cs="Arial"/>
          <w:sz w:val="20"/>
          <w:szCs w:val="20"/>
        </w:rPr>
        <w:noBreakHyphen/>
        <w:t>tear, our statistical estimates are not very precise, and larger studies are needed to confirm our findings. Nevertheless, measuring supraspinatus muscle size on MRI can help surgeons counsel patients about expected outcomes before surgery.</w:t>
      </w:r>
    </w:p>
    <w:p w14:paraId="7F2F3CD2" w14:textId="77777777" w:rsidR="007C473D" w:rsidRPr="00094BE8" w:rsidRDefault="007C473D" w:rsidP="00094BE8">
      <w:pPr>
        <w:pStyle w:val="NormalWeb"/>
        <w:spacing w:before="0" w:beforeAutospacing="0" w:after="0" w:afterAutospacing="0"/>
        <w:jc w:val="both"/>
        <w:rPr>
          <w:rFonts w:ascii="Arial" w:hAnsi="Arial" w:cs="Arial"/>
          <w:sz w:val="20"/>
          <w:szCs w:val="20"/>
        </w:rPr>
      </w:pPr>
    </w:p>
    <w:p w14:paraId="4CB4F929" w14:textId="77777777" w:rsidR="00C7093F" w:rsidRDefault="00C7093F" w:rsidP="00094BE8">
      <w:pPr>
        <w:pStyle w:val="NormalWeb"/>
        <w:spacing w:before="0" w:beforeAutospacing="0" w:after="0" w:afterAutospacing="0"/>
        <w:jc w:val="both"/>
        <w:rPr>
          <w:rFonts w:ascii="Arial" w:hAnsi="Arial" w:cs="Arial"/>
          <w:b/>
          <w:bCs/>
          <w:sz w:val="20"/>
          <w:szCs w:val="20"/>
        </w:rPr>
        <w:sectPr w:rsidR="00C7093F" w:rsidSect="00596498">
          <w:headerReference w:type="default" r:id="rId15"/>
          <w:footerReference w:type="default" r:id="rId16"/>
          <w:headerReference w:type="first" r:id="rId17"/>
          <w:footerReference w:type="first" r:id="rId18"/>
          <w:pgSz w:w="11906" w:h="16838"/>
          <w:pgMar w:top="1440" w:right="1440" w:bottom="1440" w:left="1440" w:header="720" w:footer="720" w:gutter="0"/>
          <w:cols w:space="720"/>
          <w:titlePg/>
          <w:docGrid w:linePitch="360"/>
        </w:sectPr>
      </w:pPr>
    </w:p>
    <w:p w14:paraId="5CAD1215" w14:textId="36CDFB88" w:rsidR="007C473D" w:rsidRPr="007C473D" w:rsidRDefault="007C473D" w:rsidP="00094BE8">
      <w:pPr>
        <w:pStyle w:val="NormalWeb"/>
        <w:spacing w:before="0" w:beforeAutospacing="0" w:after="0" w:afterAutospacing="0"/>
        <w:jc w:val="both"/>
        <w:rPr>
          <w:rFonts w:ascii="Arial" w:hAnsi="Arial" w:cs="Arial"/>
          <w:b/>
          <w:bCs/>
          <w:sz w:val="20"/>
          <w:szCs w:val="20"/>
        </w:rPr>
      </w:pPr>
      <w:r w:rsidRPr="007C473D">
        <w:rPr>
          <w:rFonts w:ascii="Arial" w:hAnsi="Arial" w:cs="Arial"/>
          <w:b/>
          <w:bCs/>
          <w:sz w:val="20"/>
          <w:szCs w:val="20"/>
        </w:rPr>
        <w:t>Introduction</w:t>
      </w:r>
    </w:p>
    <w:p w14:paraId="7C3DF1D9" w14:textId="49FE8AA8" w:rsidR="00094BE8" w:rsidRP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 xml:space="preserve">Large and massive rotator cuff tears represent a substantial proportion of all rotator cuff injuries, </w:t>
      </w:r>
      <w:r w:rsidRPr="00094BE8">
        <w:rPr>
          <w:rFonts w:ascii="Arial" w:hAnsi="Arial" w:cs="Arial"/>
          <w:sz w:val="20"/>
          <w:szCs w:val="20"/>
        </w:rPr>
        <w:t xml:space="preserve">affecting shoulder function and quality of life </w:t>
      </w:r>
      <w:r w:rsidR="00AE5ECE" w:rsidRPr="00AE5ECE">
        <w:rPr>
          <w:rFonts w:ascii="Arial" w:hAnsi="Arial" w:cs="Arial"/>
          <w:color w:val="0000FF"/>
          <w:sz w:val="20"/>
          <w:szCs w:val="20"/>
        </w:rPr>
        <w:t>(</w:t>
      </w:r>
      <w:r w:rsidR="00EE0010">
        <w:rPr>
          <w:rFonts w:ascii="Arial" w:hAnsi="Arial" w:cs="Arial"/>
          <w:color w:val="0000FF"/>
          <w:sz w:val="20"/>
          <w:szCs w:val="20"/>
        </w:rPr>
        <w:fldChar w:fldCharType="begin"/>
      </w:r>
      <w:r w:rsidR="00EE0010">
        <w:rPr>
          <w:rFonts w:ascii="Arial" w:hAnsi="Arial" w:cs="Arial"/>
          <w:color w:val="0000FF"/>
          <w:sz w:val="20"/>
          <w:szCs w:val="20"/>
        </w:rPr>
        <w:instrText xml:space="preserve"> REF _Ref230599919 \r \h </w:instrText>
      </w:r>
      <w:r w:rsidR="00EE0010">
        <w:rPr>
          <w:rFonts w:ascii="Arial" w:hAnsi="Arial" w:cs="Arial"/>
          <w:color w:val="0000FF"/>
          <w:sz w:val="20"/>
          <w:szCs w:val="20"/>
        </w:rPr>
      </w:r>
      <w:r w:rsidR="00EE0010">
        <w:rPr>
          <w:rFonts w:ascii="Arial" w:hAnsi="Arial" w:cs="Arial"/>
          <w:color w:val="0000FF"/>
          <w:sz w:val="20"/>
          <w:szCs w:val="20"/>
        </w:rPr>
        <w:fldChar w:fldCharType="separate"/>
      </w:r>
      <w:r w:rsidR="00EE0010">
        <w:rPr>
          <w:rFonts w:ascii="Arial" w:hAnsi="Arial" w:cs="Arial"/>
          <w:color w:val="0000FF"/>
          <w:sz w:val="20"/>
          <w:szCs w:val="20"/>
        </w:rPr>
        <w:t>1</w:t>
      </w:r>
      <w:r w:rsidR="00EE0010">
        <w:rPr>
          <w:rFonts w:ascii="Arial" w:hAnsi="Arial" w:cs="Arial"/>
          <w:color w:val="0000FF"/>
          <w:sz w:val="20"/>
          <w:szCs w:val="20"/>
        </w:rPr>
        <w:fldChar w:fldCharType="end"/>
      </w:r>
      <w:r w:rsidR="00AE5ECE" w:rsidRPr="00AE5ECE">
        <w:rPr>
          <w:rFonts w:ascii="Arial" w:hAnsi="Arial" w:cs="Arial"/>
          <w:color w:val="0000FF"/>
          <w:sz w:val="20"/>
          <w:szCs w:val="20"/>
        </w:rPr>
        <w:t>)</w:t>
      </w:r>
      <w:r w:rsidRPr="00094BE8">
        <w:rPr>
          <w:rFonts w:ascii="Arial" w:hAnsi="Arial" w:cs="Arial"/>
          <w:sz w:val="20"/>
          <w:szCs w:val="20"/>
        </w:rPr>
        <w:t xml:space="preserve">. Arthroscopic rotator cuff repair has become the standard surgical treatment, and the </w:t>
      </w:r>
      <w:r w:rsidRPr="00094BE8">
        <w:rPr>
          <w:rFonts w:ascii="Arial" w:hAnsi="Arial" w:cs="Arial"/>
          <w:sz w:val="20"/>
          <w:szCs w:val="20"/>
        </w:rPr>
        <w:lastRenderedPageBreak/>
        <w:t>suture</w:t>
      </w:r>
      <w:r w:rsidRPr="00094BE8">
        <w:rPr>
          <w:rFonts w:ascii="Arial" w:hAnsi="Arial" w:cs="Arial"/>
          <w:sz w:val="20"/>
          <w:szCs w:val="20"/>
        </w:rPr>
        <w:noBreakHyphen/>
        <w:t xml:space="preserve">bridge technique provides strong biomechanical fixation </w:t>
      </w:r>
      <w:r w:rsidR="00AE5ECE">
        <w:rPr>
          <w:rFonts w:ascii="Arial" w:hAnsi="Arial" w:cs="Arial"/>
          <w:color w:val="0000FF"/>
          <w:sz w:val="20"/>
          <w:szCs w:val="20"/>
        </w:rPr>
        <w:t>(</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_Ref230599963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2</w:t>
      </w:r>
      <w:r w:rsidR="00C7093F">
        <w:rPr>
          <w:rFonts w:ascii="Arial" w:hAnsi="Arial" w:cs="Arial"/>
          <w:color w:val="0000FF"/>
          <w:sz w:val="20"/>
          <w:szCs w:val="20"/>
        </w:rPr>
        <w:fldChar w:fldCharType="end"/>
      </w:r>
      <w:r w:rsidR="00AE5ECE" w:rsidRPr="00AE5ECE">
        <w:rPr>
          <w:rFonts w:ascii="Arial" w:hAnsi="Arial" w:cs="Arial"/>
          <w:color w:val="0000FF"/>
          <w:sz w:val="20"/>
          <w:szCs w:val="20"/>
        </w:rPr>
        <w:t>)</w:t>
      </w:r>
      <w:r w:rsidRPr="00094BE8">
        <w:rPr>
          <w:rFonts w:ascii="Arial" w:hAnsi="Arial" w:cs="Arial"/>
          <w:sz w:val="20"/>
          <w:szCs w:val="20"/>
        </w:rPr>
        <w:t>. Despite technical advances, postoperative retear rates remain high, ranging from 24% to 40% in large</w:t>
      </w:r>
      <w:r w:rsidRPr="00094BE8">
        <w:rPr>
          <w:rFonts w:ascii="Arial" w:hAnsi="Arial" w:cs="Arial"/>
          <w:sz w:val="20"/>
          <w:szCs w:val="20"/>
        </w:rPr>
        <w:noBreakHyphen/>
        <w:t>to</w:t>
      </w:r>
      <w:r w:rsidRPr="00094BE8">
        <w:rPr>
          <w:rFonts w:ascii="Arial" w:hAnsi="Arial" w:cs="Arial"/>
          <w:sz w:val="20"/>
          <w:szCs w:val="20"/>
        </w:rPr>
        <w:noBreakHyphen/>
        <w:t xml:space="preserve">massive tears, with some series reporting up to 94% retear </w:t>
      </w:r>
      <w:r w:rsidR="00AE5ECE">
        <w:rPr>
          <w:rFonts w:ascii="Arial" w:hAnsi="Arial" w:cs="Arial"/>
          <w:color w:val="0000FF"/>
          <w:sz w:val="20"/>
          <w:szCs w:val="20"/>
        </w:rPr>
        <w:t>(</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_Ref230599974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3</w:t>
      </w:r>
      <w:r w:rsidR="00C7093F">
        <w:rPr>
          <w:rFonts w:ascii="Arial" w:hAnsi="Arial" w:cs="Arial"/>
          <w:color w:val="0000FF"/>
          <w:sz w:val="20"/>
          <w:szCs w:val="20"/>
        </w:rPr>
        <w:fldChar w:fldCharType="end"/>
      </w:r>
      <w:r w:rsidR="00AE5ECE" w:rsidRPr="00AE5ECE">
        <w:rPr>
          <w:rFonts w:ascii="Arial" w:hAnsi="Arial" w:cs="Arial"/>
          <w:color w:val="0000FF"/>
          <w:sz w:val="20"/>
          <w:szCs w:val="20"/>
        </w:rPr>
        <w:t xml:space="preserve">, </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_Ref230599980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4</w:t>
      </w:r>
      <w:r w:rsidR="00C7093F">
        <w:rPr>
          <w:rFonts w:ascii="Arial" w:hAnsi="Arial" w:cs="Arial"/>
          <w:color w:val="0000FF"/>
          <w:sz w:val="20"/>
          <w:szCs w:val="20"/>
        </w:rPr>
        <w:fldChar w:fldCharType="end"/>
      </w:r>
      <w:r w:rsidR="00AE5ECE" w:rsidRPr="00AE5ECE">
        <w:rPr>
          <w:rFonts w:ascii="Arial" w:hAnsi="Arial" w:cs="Arial"/>
          <w:color w:val="0000FF"/>
          <w:sz w:val="20"/>
          <w:szCs w:val="20"/>
        </w:rPr>
        <w:t xml:space="preserve">, </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_Ref230599987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5</w:t>
      </w:r>
      <w:r w:rsidR="00C7093F">
        <w:rPr>
          <w:rFonts w:ascii="Arial" w:hAnsi="Arial" w:cs="Arial"/>
          <w:color w:val="0000FF"/>
          <w:sz w:val="20"/>
          <w:szCs w:val="20"/>
        </w:rPr>
        <w:fldChar w:fldCharType="end"/>
      </w:r>
      <w:r w:rsidR="00AE5ECE" w:rsidRPr="00AE5ECE">
        <w:rPr>
          <w:rFonts w:ascii="Arial" w:hAnsi="Arial" w:cs="Arial"/>
          <w:color w:val="0000FF"/>
          <w:sz w:val="20"/>
          <w:szCs w:val="20"/>
        </w:rPr>
        <w:t>)</w:t>
      </w:r>
      <w:r w:rsidRPr="00094BE8">
        <w:rPr>
          <w:rFonts w:ascii="Arial" w:hAnsi="Arial" w:cs="Arial"/>
          <w:sz w:val="20"/>
          <w:szCs w:val="20"/>
        </w:rPr>
        <w:t xml:space="preserve">. Patients with recurrent tears consistently have poorer functional outcomes than those with intact healing </w:t>
      </w:r>
      <w:r w:rsidR="00AE5ECE" w:rsidRPr="00AE5ECE">
        <w:rPr>
          <w:rFonts w:ascii="Arial" w:hAnsi="Arial" w:cs="Arial"/>
          <w:color w:val="0000FF"/>
          <w:sz w:val="20"/>
          <w:szCs w:val="20"/>
        </w:rPr>
        <w:t>(</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_Ref230599919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1</w:t>
      </w:r>
      <w:r w:rsidR="00C7093F">
        <w:rPr>
          <w:rFonts w:ascii="Arial" w:hAnsi="Arial" w:cs="Arial"/>
          <w:color w:val="0000FF"/>
          <w:sz w:val="20"/>
          <w:szCs w:val="20"/>
        </w:rPr>
        <w:fldChar w:fldCharType="end"/>
      </w:r>
      <w:r w:rsidR="00AE5ECE" w:rsidRPr="00AE5ECE">
        <w:rPr>
          <w:rFonts w:ascii="Arial" w:hAnsi="Arial" w:cs="Arial"/>
          <w:color w:val="0000FF"/>
          <w:sz w:val="20"/>
          <w:szCs w:val="20"/>
        </w:rPr>
        <w:t>)</w:t>
      </w:r>
      <w:r w:rsidRPr="00094BE8">
        <w:rPr>
          <w:rFonts w:ascii="Arial" w:hAnsi="Arial" w:cs="Arial"/>
          <w:sz w:val="20"/>
          <w:szCs w:val="20"/>
        </w:rPr>
        <w:t>.</w:t>
      </w:r>
    </w:p>
    <w:p w14:paraId="6F7418C6" w14:textId="2B9FA138" w:rsidR="00094BE8" w:rsidRP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 xml:space="preserve">Several risk factors for retear have been identified, including advanced age, tear size, tendon retraction, fatty infiltration of the rotator cuff muscles, and reduced acromiohumeral distance </w:t>
      </w:r>
      <w:r w:rsidR="00AE5ECE">
        <w:rPr>
          <w:rFonts w:ascii="Arial" w:hAnsi="Arial" w:cs="Arial"/>
          <w:color w:val="0000FF"/>
          <w:sz w:val="20"/>
          <w:szCs w:val="20"/>
        </w:rPr>
        <w:t>(</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_Ref230600080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6</w:t>
      </w:r>
      <w:r w:rsidR="00C7093F">
        <w:rPr>
          <w:rFonts w:ascii="Arial" w:hAnsi="Arial" w:cs="Arial"/>
          <w:color w:val="0000FF"/>
          <w:sz w:val="20"/>
          <w:szCs w:val="20"/>
        </w:rPr>
        <w:fldChar w:fldCharType="end"/>
      </w:r>
      <w:r w:rsidR="00AE5ECE">
        <w:rPr>
          <w:rFonts w:ascii="Arial" w:hAnsi="Arial" w:cs="Arial"/>
          <w:color w:val="0000FF"/>
          <w:sz w:val="20"/>
          <w:szCs w:val="20"/>
        </w:rPr>
        <w:t xml:space="preserve">, </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_Ref230600095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7</w:t>
      </w:r>
      <w:r w:rsidR="00C7093F">
        <w:rPr>
          <w:rFonts w:ascii="Arial" w:hAnsi="Arial" w:cs="Arial"/>
          <w:color w:val="0000FF"/>
          <w:sz w:val="20"/>
          <w:szCs w:val="20"/>
        </w:rPr>
        <w:fldChar w:fldCharType="end"/>
      </w:r>
      <w:r w:rsidR="00AE5ECE">
        <w:rPr>
          <w:rFonts w:ascii="Arial" w:hAnsi="Arial" w:cs="Arial"/>
          <w:color w:val="0000FF"/>
          <w:sz w:val="20"/>
          <w:szCs w:val="20"/>
        </w:rPr>
        <w:t xml:space="preserve">, </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_Ref230600101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8</w:t>
      </w:r>
      <w:r w:rsidR="00C7093F">
        <w:rPr>
          <w:rFonts w:ascii="Arial" w:hAnsi="Arial" w:cs="Arial"/>
          <w:color w:val="0000FF"/>
          <w:sz w:val="20"/>
          <w:szCs w:val="20"/>
        </w:rPr>
        <w:fldChar w:fldCharType="end"/>
      </w:r>
      <w:r w:rsidR="00AE5ECE" w:rsidRPr="00AE5ECE">
        <w:rPr>
          <w:rFonts w:ascii="Arial" w:hAnsi="Arial" w:cs="Arial"/>
          <w:color w:val="0000FF"/>
          <w:sz w:val="20"/>
          <w:szCs w:val="20"/>
        </w:rPr>
        <w:t>)</w:t>
      </w:r>
      <w:r w:rsidRPr="00094BE8">
        <w:rPr>
          <w:rFonts w:ascii="Arial" w:hAnsi="Arial" w:cs="Arial"/>
          <w:sz w:val="20"/>
          <w:szCs w:val="20"/>
        </w:rPr>
        <w:t xml:space="preserve">. In particular, supraspinatus muscle atrophy and infraspinatus fatty degeneration appear to be strong predictors </w:t>
      </w:r>
      <w:r w:rsidR="00AE5ECE" w:rsidRPr="00AE5ECE">
        <w:rPr>
          <w:rFonts w:ascii="Arial" w:hAnsi="Arial" w:cs="Arial"/>
          <w:color w:val="0000FF"/>
          <w:sz w:val="20"/>
          <w:szCs w:val="20"/>
        </w:rPr>
        <w:t>(</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_Ref230600107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9</w:t>
      </w:r>
      <w:r w:rsidR="00C7093F">
        <w:rPr>
          <w:rFonts w:ascii="Arial" w:hAnsi="Arial" w:cs="Arial"/>
          <w:color w:val="0000FF"/>
          <w:sz w:val="20"/>
          <w:szCs w:val="20"/>
        </w:rPr>
        <w:fldChar w:fldCharType="end"/>
      </w:r>
      <w:r w:rsidR="00AE5ECE" w:rsidRPr="00AE5ECE">
        <w:rPr>
          <w:rFonts w:ascii="Arial" w:hAnsi="Arial" w:cs="Arial"/>
          <w:color w:val="0000FF"/>
          <w:sz w:val="20"/>
          <w:szCs w:val="20"/>
        </w:rPr>
        <w:t>)</w:t>
      </w:r>
      <w:r w:rsidRPr="00094BE8">
        <w:rPr>
          <w:rFonts w:ascii="Arial" w:hAnsi="Arial" w:cs="Arial"/>
          <w:sz w:val="20"/>
          <w:szCs w:val="20"/>
        </w:rPr>
        <w:t>. To improve healing, biological augmentation with platelet</w:t>
      </w:r>
      <w:r w:rsidRPr="00094BE8">
        <w:rPr>
          <w:rFonts w:ascii="Arial" w:hAnsi="Arial" w:cs="Arial"/>
          <w:sz w:val="20"/>
          <w:szCs w:val="20"/>
        </w:rPr>
        <w:noBreakHyphen/>
        <w:t>rich fibrin (PRF) or platelet</w:t>
      </w:r>
      <w:r w:rsidRPr="00094BE8">
        <w:rPr>
          <w:rFonts w:ascii="Arial" w:hAnsi="Arial" w:cs="Arial"/>
          <w:sz w:val="20"/>
          <w:szCs w:val="20"/>
        </w:rPr>
        <w:noBreakHyphen/>
        <w:t>rich plasma (PRP) has been proposed. PRF releases multiple growth factors (PDGF, TGF</w:t>
      </w:r>
      <w:r w:rsidRPr="00094BE8">
        <w:rPr>
          <w:rFonts w:ascii="Arial" w:hAnsi="Arial" w:cs="Arial"/>
          <w:sz w:val="20"/>
          <w:szCs w:val="20"/>
        </w:rPr>
        <w:noBreakHyphen/>
        <w:t>β, VEGF, IGF</w:t>
      </w:r>
      <w:r w:rsidRPr="00094BE8">
        <w:rPr>
          <w:rFonts w:ascii="Arial" w:hAnsi="Arial" w:cs="Arial"/>
          <w:sz w:val="20"/>
          <w:szCs w:val="20"/>
        </w:rPr>
        <w:noBreakHyphen/>
        <w:t xml:space="preserve">1, FGF, EGF) that promote cellular proliferation, angiogenesis, and matrix synthesis </w:t>
      </w:r>
      <w:r w:rsidR="00AE5ECE" w:rsidRPr="00AE5ECE">
        <w:rPr>
          <w:rFonts w:ascii="Arial" w:hAnsi="Arial" w:cs="Arial"/>
          <w:color w:val="0000FF"/>
          <w:sz w:val="20"/>
          <w:szCs w:val="20"/>
        </w:rPr>
        <w:t>(</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_Ref230600113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10</w:t>
      </w:r>
      <w:r w:rsidR="00C7093F">
        <w:rPr>
          <w:rFonts w:ascii="Arial" w:hAnsi="Arial" w:cs="Arial"/>
          <w:color w:val="0000FF"/>
          <w:sz w:val="20"/>
          <w:szCs w:val="20"/>
        </w:rPr>
        <w:fldChar w:fldCharType="end"/>
      </w:r>
      <w:r w:rsidRPr="00AE5ECE">
        <w:rPr>
          <w:rFonts w:ascii="Arial" w:hAnsi="Arial" w:cs="Arial"/>
          <w:color w:val="0000FF"/>
          <w:sz w:val="20"/>
          <w:szCs w:val="20"/>
        </w:rPr>
        <w:t>,</w:t>
      </w:r>
      <w:r w:rsidR="00AE5ECE" w:rsidRPr="00AE5ECE">
        <w:rPr>
          <w:rFonts w:ascii="Arial" w:hAnsi="Arial" w:cs="Arial"/>
          <w:color w:val="0000FF"/>
          <w:sz w:val="20"/>
          <w:szCs w:val="20"/>
        </w:rPr>
        <w:t xml:space="preserve"> </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_Ref230600119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11</w:t>
      </w:r>
      <w:r w:rsidR="00C7093F">
        <w:rPr>
          <w:rFonts w:ascii="Arial" w:hAnsi="Arial" w:cs="Arial"/>
          <w:color w:val="0000FF"/>
          <w:sz w:val="20"/>
          <w:szCs w:val="20"/>
        </w:rPr>
        <w:fldChar w:fldCharType="end"/>
      </w:r>
      <w:r w:rsidR="00AE5ECE" w:rsidRPr="00AE5ECE">
        <w:rPr>
          <w:rFonts w:ascii="Arial" w:hAnsi="Arial" w:cs="Arial"/>
          <w:color w:val="0000FF"/>
          <w:sz w:val="20"/>
          <w:szCs w:val="20"/>
        </w:rPr>
        <w:t>)</w:t>
      </w:r>
      <w:r w:rsidRPr="00094BE8">
        <w:rPr>
          <w:rFonts w:ascii="Arial" w:hAnsi="Arial" w:cs="Arial"/>
          <w:sz w:val="20"/>
          <w:szCs w:val="20"/>
        </w:rPr>
        <w:t xml:space="preserve">. Some controlled studies suggest that PRF augmentation may reduce retear rates after rotator cuff repair, especially in larger tears </w:t>
      </w:r>
      <w:r w:rsidR="00AE5ECE">
        <w:rPr>
          <w:rFonts w:ascii="Arial" w:hAnsi="Arial" w:cs="Arial"/>
          <w:color w:val="0000FF"/>
          <w:sz w:val="20"/>
          <w:szCs w:val="20"/>
        </w:rPr>
        <w:t>(</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_Ref230600125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12</w:t>
      </w:r>
      <w:r w:rsidR="00C7093F">
        <w:rPr>
          <w:rFonts w:ascii="Arial" w:hAnsi="Arial" w:cs="Arial"/>
          <w:color w:val="0000FF"/>
          <w:sz w:val="20"/>
          <w:szCs w:val="20"/>
        </w:rPr>
        <w:fldChar w:fldCharType="end"/>
      </w:r>
      <w:r w:rsidRPr="00AE5ECE">
        <w:rPr>
          <w:rFonts w:ascii="Arial" w:hAnsi="Arial" w:cs="Arial"/>
          <w:color w:val="0000FF"/>
          <w:sz w:val="20"/>
          <w:szCs w:val="20"/>
        </w:rPr>
        <w:t>,</w:t>
      </w:r>
      <w:r w:rsidR="00AE5ECE">
        <w:rPr>
          <w:rFonts w:ascii="Arial" w:hAnsi="Arial" w:cs="Arial"/>
          <w:color w:val="0000FF"/>
          <w:sz w:val="20"/>
          <w:szCs w:val="20"/>
        </w:rPr>
        <w:t xml:space="preserve"> </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_Ref230600133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13</w:t>
      </w:r>
      <w:r w:rsidR="00C7093F">
        <w:rPr>
          <w:rFonts w:ascii="Arial" w:hAnsi="Arial" w:cs="Arial"/>
          <w:color w:val="0000FF"/>
          <w:sz w:val="20"/>
          <w:szCs w:val="20"/>
        </w:rPr>
        <w:fldChar w:fldCharType="end"/>
      </w:r>
      <w:r w:rsidR="00AE5ECE" w:rsidRPr="00AE5ECE">
        <w:rPr>
          <w:rFonts w:ascii="Arial" w:hAnsi="Arial" w:cs="Arial"/>
          <w:color w:val="0000FF"/>
          <w:sz w:val="20"/>
          <w:szCs w:val="20"/>
        </w:rPr>
        <w:t>)</w:t>
      </w:r>
      <w:r w:rsidRPr="00094BE8">
        <w:rPr>
          <w:rFonts w:ascii="Arial" w:hAnsi="Arial" w:cs="Arial"/>
          <w:sz w:val="20"/>
          <w:szCs w:val="20"/>
        </w:rPr>
        <w:t>.</w:t>
      </w:r>
    </w:p>
    <w:p w14:paraId="53E76960" w14:textId="6566AF73" w:rsid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However, even with PRF augmentation, the ability to predict which patients will achieve tendon healing remains uncertain. Accurate preoperative prediction would help surgeons and patients choose appropriate treatment strategies and set realistic expectations. The present study</w:t>
      </w:r>
      <w:r w:rsidR="002F71E4">
        <w:rPr>
          <w:rFonts w:ascii="Arial" w:hAnsi="Arial" w:cs="Arial"/>
          <w:sz w:val="20"/>
          <w:szCs w:val="20"/>
        </w:rPr>
        <w:t>,</w:t>
      </w:r>
      <w:r w:rsidRPr="00094BE8">
        <w:rPr>
          <w:rFonts w:ascii="Arial" w:hAnsi="Arial" w:cs="Arial"/>
          <w:sz w:val="20"/>
          <w:szCs w:val="20"/>
        </w:rPr>
        <w:t xml:space="preserve"> therefore</w:t>
      </w:r>
      <w:r w:rsidR="002F71E4">
        <w:rPr>
          <w:rFonts w:ascii="Arial" w:hAnsi="Arial" w:cs="Arial"/>
          <w:sz w:val="20"/>
          <w:szCs w:val="20"/>
        </w:rPr>
        <w:t>,</w:t>
      </w:r>
      <w:r w:rsidRPr="00094BE8">
        <w:rPr>
          <w:rFonts w:ascii="Arial" w:hAnsi="Arial" w:cs="Arial"/>
          <w:sz w:val="20"/>
          <w:szCs w:val="20"/>
        </w:rPr>
        <w:t xml:space="preserve"> aimed to identify risk factors for retear after arthroscopic suture</w:t>
      </w:r>
      <w:r w:rsidRPr="00094BE8">
        <w:rPr>
          <w:rFonts w:ascii="Arial" w:hAnsi="Arial" w:cs="Arial"/>
          <w:sz w:val="20"/>
          <w:szCs w:val="20"/>
        </w:rPr>
        <w:noBreakHyphen/>
        <w:t>bridge repair with PRF augmentation in a relatively homogeneous cohort of patients with large rotator cuff tears (3–5 cm). We focused on preoperative clinical and MRI variables, using 6</w:t>
      </w:r>
      <w:r w:rsidRPr="00094BE8">
        <w:rPr>
          <w:rFonts w:ascii="Arial" w:hAnsi="Arial" w:cs="Arial"/>
          <w:sz w:val="20"/>
          <w:szCs w:val="20"/>
        </w:rPr>
        <w:noBreakHyphen/>
        <w:t xml:space="preserve">month postoperative MRI as the </w:t>
      </w:r>
      <w:r w:rsidR="002F71E4">
        <w:rPr>
          <w:rFonts w:ascii="Arial" w:hAnsi="Arial" w:cs="Arial"/>
          <w:sz w:val="20"/>
          <w:szCs w:val="20"/>
        </w:rPr>
        <w:t>endpoint of healing</w:t>
      </w:r>
      <w:r w:rsidRPr="00094BE8">
        <w:rPr>
          <w:rFonts w:ascii="Arial" w:hAnsi="Arial" w:cs="Arial"/>
          <w:sz w:val="20"/>
          <w:szCs w:val="20"/>
        </w:rPr>
        <w:t>.</w:t>
      </w:r>
    </w:p>
    <w:p w14:paraId="456973BF" w14:textId="77777777" w:rsidR="007C473D" w:rsidRPr="00094BE8" w:rsidRDefault="007C473D" w:rsidP="00094BE8">
      <w:pPr>
        <w:pStyle w:val="NormalWeb"/>
        <w:spacing w:before="0" w:beforeAutospacing="0" w:after="0" w:afterAutospacing="0"/>
        <w:jc w:val="both"/>
        <w:rPr>
          <w:rFonts w:ascii="Arial" w:hAnsi="Arial" w:cs="Arial"/>
          <w:sz w:val="20"/>
          <w:szCs w:val="20"/>
        </w:rPr>
      </w:pPr>
    </w:p>
    <w:p w14:paraId="46DF1E80" w14:textId="77777777" w:rsidR="007C473D" w:rsidRPr="007C473D" w:rsidRDefault="007C473D" w:rsidP="00094BE8">
      <w:pPr>
        <w:pStyle w:val="NormalWeb"/>
        <w:spacing w:before="0" w:beforeAutospacing="0" w:after="0" w:afterAutospacing="0"/>
        <w:jc w:val="both"/>
        <w:rPr>
          <w:rFonts w:ascii="Arial" w:hAnsi="Arial" w:cs="Arial"/>
          <w:b/>
          <w:bCs/>
          <w:sz w:val="20"/>
          <w:szCs w:val="20"/>
        </w:rPr>
      </w:pPr>
      <w:r w:rsidRPr="007C473D">
        <w:rPr>
          <w:rFonts w:ascii="Arial" w:hAnsi="Arial" w:cs="Arial"/>
          <w:b/>
          <w:bCs/>
          <w:sz w:val="20"/>
          <w:szCs w:val="20"/>
        </w:rPr>
        <w:t>Materials and Methods</w:t>
      </w:r>
    </w:p>
    <w:p w14:paraId="392D109F" w14:textId="77777777" w:rsidR="007C473D" w:rsidRPr="007C473D" w:rsidRDefault="00094BE8" w:rsidP="00094BE8">
      <w:pPr>
        <w:pStyle w:val="NormalWeb"/>
        <w:spacing w:before="0" w:beforeAutospacing="0" w:after="0" w:afterAutospacing="0"/>
        <w:jc w:val="both"/>
        <w:rPr>
          <w:rFonts w:ascii="Arial" w:hAnsi="Arial" w:cs="Arial"/>
          <w:i/>
          <w:iCs/>
          <w:sz w:val="20"/>
          <w:szCs w:val="20"/>
        </w:rPr>
      </w:pPr>
      <w:r w:rsidRPr="007C473D">
        <w:rPr>
          <w:rFonts w:ascii="Arial" w:hAnsi="Arial" w:cs="Arial"/>
          <w:i/>
          <w:iCs/>
          <w:sz w:val="20"/>
          <w:szCs w:val="20"/>
        </w:rPr>
        <w:t>Study design and ethical approval</w:t>
      </w:r>
    </w:p>
    <w:p w14:paraId="6FC2750B" w14:textId="5EE364CC" w:rsid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This was a prospective, single</w:t>
      </w:r>
      <w:r w:rsidRPr="00094BE8">
        <w:rPr>
          <w:rFonts w:ascii="Arial" w:hAnsi="Arial" w:cs="Arial"/>
          <w:sz w:val="20"/>
          <w:szCs w:val="20"/>
        </w:rPr>
        <w:noBreakHyphen/>
        <w:t xml:space="preserve">centre prognostic study conducted at Viet Duc University Hospital, </w:t>
      </w:r>
      <w:r w:rsidRPr="00504B2A">
        <w:rPr>
          <w:rFonts w:ascii="Arial" w:hAnsi="Arial" w:cs="Arial"/>
          <w:sz w:val="20"/>
          <w:szCs w:val="20"/>
        </w:rPr>
        <w:t xml:space="preserve">Hanoi, Vietnam, between </w:t>
      </w:r>
      <w:r w:rsidR="00E64C18" w:rsidRPr="00504B2A">
        <w:rPr>
          <w:rFonts w:ascii="Arial" w:hAnsi="Arial" w:cs="Arial"/>
          <w:sz w:val="20"/>
          <w:szCs w:val="20"/>
        </w:rPr>
        <w:t xml:space="preserve">May 2025 </w:t>
      </w:r>
      <w:r w:rsidR="00504B2A">
        <w:rPr>
          <w:rFonts w:ascii="Arial" w:hAnsi="Arial" w:cs="Arial"/>
          <w:sz w:val="20"/>
          <w:szCs w:val="20"/>
        </w:rPr>
        <w:t>and</w:t>
      </w:r>
      <w:r w:rsidR="00E64C18" w:rsidRPr="00504B2A">
        <w:rPr>
          <w:rFonts w:ascii="Arial" w:hAnsi="Arial" w:cs="Arial"/>
          <w:sz w:val="20"/>
          <w:szCs w:val="20"/>
        </w:rPr>
        <w:t xml:space="preserve"> April 2026</w:t>
      </w:r>
      <w:r w:rsidRPr="00504B2A">
        <w:rPr>
          <w:rFonts w:ascii="Arial" w:hAnsi="Arial" w:cs="Arial"/>
          <w:sz w:val="20"/>
          <w:szCs w:val="20"/>
        </w:rPr>
        <w:t xml:space="preserve">. The study protocol was approved by the Institutional Review Board of Viet Duc University Hospital (Approval No. </w:t>
      </w:r>
      <w:r w:rsidR="003D0797" w:rsidRPr="00504B2A">
        <w:rPr>
          <w:rFonts w:ascii="Arial" w:hAnsi="Arial" w:cs="Arial"/>
          <w:sz w:val="20"/>
          <w:szCs w:val="20"/>
        </w:rPr>
        <w:t>1697/GCN-</w:t>
      </w:r>
      <w:r w:rsidR="007A2FA1" w:rsidRPr="00504B2A">
        <w:rPr>
          <w:rFonts w:ascii="Arial" w:hAnsi="Arial" w:cs="Arial"/>
          <w:sz w:val="20"/>
          <w:szCs w:val="20"/>
        </w:rPr>
        <w:t>HMUIRB</w:t>
      </w:r>
      <w:r w:rsidRPr="00504B2A">
        <w:rPr>
          <w:rFonts w:ascii="Arial" w:hAnsi="Arial" w:cs="Arial"/>
          <w:sz w:val="20"/>
          <w:szCs w:val="20"/>
        </w:rPr>
        <w:t xml:space="preserve">, dated </w:t>
      </w:r>
      <w:r w:rsidR="007A2FA1" w:rsidRPr="00504B2A">
        <w:rPr>
          <w:rFonts w:ascii="Arial" w:hAnsi="Arial" w:cs="Arial"/>
          <w:sz w:val="20"/>
          <w:szCs w:val="20"/>
        </w:rPr>
        <w:t>17/4/2025</w:t>
      </w:r>
      <w:r w:rsidRPr="00504B2A">
        <w:rPr>
          <w:rFonts w:ascii="Arial" w:hAnsi="Arial" w:cs="Arial"/>
          <w:sz w:val="20"/>
          <w:szCs w:val="20"/>
        </w:rPr>
        <w:t xml:space="preserve">). All </w:t>
      </w:r>
      <w:r w:rsidRPr="00094BE8">
        <w:rPr>
          <w:rFonts w:ascii="Arial" w:hAnsi="Arial" w:cs="Arial"/>
          <w:sz w:val="20"/>
          <w:szCs w:val="20"/>
        </w:rPr>
        <w:t>participants provided written informed consent. The study was conducted in accordance with the Declaration of Helsinki.</w:t>
      </w:r>
    </w:p>
    <w:p w14:paraId="03EE7C42" w14:textId="77777777" w:rsidR="007C473D" w:rsidRDefault="007C473D" w:rsidP="00094BE8">
      <w:pPr>
        <w:pStyle w:val="NormalWeb"/>
        <w:spacing w:before="0" w:beforeAutospacing="0" w:after="0" w:afterAutospacing="0"/>
        <w:jc w:val="both"/>
        <w:rPr>
          <w:rFonts w:ascii="Arial" w:hAnsi="Arial" w:cs="Arial"/>
          <w:sz w:val="20"/>
          <w:szCs w:val="20"/>
        </w:rPr>
      </w:pPr>
    </w:p>
    <w:p w14:paraId="63289713" w14:textId="77777777" w:rsidR="00DF5EA9" w:rsidRPr="00094BE8" w:rsidRDefault="00DF5EA9" w:rsidP="00094BE8">
      <w:pPr>
        <w:pStyle w:val="NormalWeb"/>
        <w:spacing w:before="0" w:beforeAutospacing="0" w:after="0" w:afterAutospacing="0"/>
        <w:jc w:val="both"/>
        <w:rPr>
          <w:rFonts w:ascii="Arial" w:hAnsi="Arial" w:cs="Arial"/>
          <w:sz w:val="20"/>
          <w:szCs w:val="20"/>
        </w:rPr>
      </w:pPr>
    </w:p>
    <w:p w14:paraId="0F0E45FA" w14:textId="77777777" w:rsidR="007C473D" w:rsidRPr="007C473D" w:rsidRDefault="00094BE8" w:rsidP="00094BE8">
      <w:pPr>
        <w:pStyle w:val="NormalWeb"/>
        <w:spacing w:before="0" w:beforeAutospacing="0" w:after="0" w:afterAutospacing="0"/>
        <w:jc w:val="both"/>
        <w:rPr>
          <w:rFonts w:ascii="Arial" w:hAnsi="Arial" w:cs="Arial"/>
          <w:i/>
          <w:iCs/>
          <w:sz w:val="20"/>
          <w:szCs w:val="20"/>
        </w:rPr>
      </w:pPr>
      <w:r w:rsidRPr="007C473D">
        <w:rPr>
          <w:rFonts w:ascii="Arial" w:hAnsi="Arial" w:cs="Arial"/>
          <w:i/>
          <w:iCs/>
          <w:sz w:val="20"/>
          <w:szCs w:val="20"/>
        </w:rPr>
        <w:t>Patient selection</w:t>
      </w:r>
    </w:p>
    <w:p w14:paraId="121119CA" w14:textId="77017C66" w:rsid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Consecutive patients aged 18–80 years with a full</w:t>
      </w:r>
      <w:r w:rsidRPr="00094BE8">
        <w:rPr>
          <w:rFonts w:ascii="Arial" w:hAnsi="Arial" w:cs="Arial"/>
          <w:sz w:val="20"/>
          <w:szCs w:val="20"/>
        </w:rPr>
        <w:noBreakHyphen/>
        <w:t xml:space="preserve">thickness rotator cuff tear measuring 3–5 cm in the mediolateral dimension (or involving at least two tendons) were considered for inclusion. Additional inclusion criteria were: (1) ability to </w:t>
      </w:r>
      <w:r w:rsidRPr="00094BE8">
        <w:rPr>
          <w:rFonts w:ascii="Arial" w:hAnsi="Arial" w:cs="Arial"/>
          <w:sz w:val="20"/>
          <w:szCs w:val="20"/>
        </w:rPr>
        <w:t>undergo arthroscopic suture</w:t>
      </w:r>
      <w:r w:rsidRPr="00094BE8">
        <w:rPr>
          <w:rFonts w:ascii="Arial" w:hAnsi="Arial" w:cs="Arial"/>
          <w:sz w:val="20"/>
          <w:szCs w:val="20"/>
        </w:rPr>
        <w:noBreakHyphen/>
        <w:t>bridge repair with PRF augmentation, (2) normal platelet count (150–450 G/L), and (3) willingness to comply with postoperative rehabilitation and follow</w:t>
      </w:r>
      <w:r w:rsidRPr="00094BE8">
        <w:rPr>
          <w:rFonts w:ascii="Arial" w:hAnsi="Arial" w:cs="Arial"/>
          <w:sz w:val="20"/>
          <w:szCs w:val="20"/>
        </w:rPr>
        <w:noBreakHyphen/>
        <w:t>up MRI.</w:t>
      </w:r>
    </w:p>
    <w:p w14:paraId="35171859" w14:textId="77777777" w:rsidR="00094BE8" w:rsidRP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Exclusion criteria were: previous shoulder surgery on the affected side, acute traumatic tear (&lt;3 weeks from injury), chronic shoulder dislocation, septic arthritis, rotator cuff arthropathy with glenohumeral osteoarthritis and superior humeral head migration, thrombocytopenia (&lt;150,000 platelets/mL), current antiplatelet or anticoagulant medication, and psychiatric disorders precluding informed consent.</w:t>
      </w:r>
    </w:p>
    <w:p w14:paraId="13E7E419" w14:textId="77777777" w:rsidR="0014380A" w:rsidRDefault="0014380A" w:rsidP="00094BE8">
      <w:pPr>
        <w:pStyle w:val="NormalWeb"/>
        <w:spacing w:before="0" w:beforeAutospacing="0" w:after="0" w:afterAutospacing="0"/>
        <w:jc w:val="both"/>
        <w:rPr>
          <w:rFonts w:ascii="Arial" w:hAnsi="Arial" w:cs="Arial"/>
          <w:sz w:val="20"/>
          <w:szCs w:val="20"/>
        </w:rPr>
      </w:pPr>
    </w:p>
    <w:p w14:paraId="1D2CF88B" w14:textId="6147A092" w:rsidR="0014380A" w:rsidRPr="0014380A" w:rsidRDefault="00094BE8" w:rsidP="00094BE8">
      <w:pPr>
        <w:pStyle w:val="NormalWeb"/>
        <w:spacing w:before="0" w:beforeAutospacing="0" w:after="0" w:afterAutospacing="0"/>
        <w:jc w:val="both"/>
        <w:rPr>
          <w:rFonts w:ascii="Arial" w:hAnsi="Arial" w:cs="Arial"/>
          <w:i/>
          <w:iCs/>
          <w:sz w:val="20"/>
          <w:szCs w:val="20"/>
        </w:rPr>
      </w:pPr>
      <w:r w:rsidRPr="0014380A">
        <w:rPr>
          <w:rFonts w:ascii="Arial" w:hAnsi="Arial" w:cs="Arial"/>
          <w:i/>
          <w:iCs/>
          <w:sz w:val="20"/>
          <w:szCs w:val="20"/>
        </w:rPr>
        <w:t>Preoperative data collection</w:t>
      </w:r>
    </w:p>
    <w:p w14:paraId="520DF07D" w14:textId="59BC0587" w:rsidR="00094BE8" w:rsidRP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Demographic and clinical data included age, sex, symptom duration, mechanism of injury (traumatic vs degenerative), and range of motion (forward elevation, extension, abduction, adduction, internal rotation, external rotation) measured with a goniometer. Clinical tests (Jobe, Patte, Gerber, drop arm) were performed by an experienced shoulder surgeon.</w:t>
      </w:r>
    </w:p>
    <w:p w14:paraId="3ECEF8CC" w14:textId="77777777" w:rsidR="0014380A" w:rsidRDefault="0014380A" w:rsidP="00094BE8">
      <w:pPr>
        <w:pStyle w:val="NormalWeb"/>
        <w:spacing w:before="0" w:beforeAutospacing="0" w:after="0" w:afterAutospacing="0"/>
        <w:jc w:val="both"/>
        <w:rPr>
          <w:rFonts w:ascii="Arial" w:hAnsi="Arial" w:cs="Arial"/>
          <w:sz w:val="20"/>
          <w:szCs w:val="20"/>
        </w:rPr>
      </w:pPr>
    </w:p>
    <w:p w14:paraId="65D1D2EF" w14:textId="3D9601C7" w:rsidR="0014380A" w:rsidRPr="0014380A" w:rsidRDefault="00094BE8" w:rsidP="00094BE8">
      <w:pPr>
        <w:pStyle w:val="NormalWeb"/>
        <w:spacing w:before="0" w:beforeAutospacing="0" w:after="0" w:afterAutospacing="0"/>
        <w:jc w:val="both"/>
        <w:rPr>
          <w:rFonts w:ascii="Arial" w:hAnsi="Arial" w:cs="Arial"/>
          <w:i/>
          <w:iCs/>
          <w:sz w:val="20"/>
          <w:szCs w:val="20"/>
        </w:rPr>
      </w:pPr>
      <w:r w:rsidRPr="0014380A">
        <w:rPr>
          <w:rFonts w:ascii="Arial" w:hAnsi="Arial" w:cs="Arial"/>
          <w:i/>
          <w:iCs/>
          <w:sz w:val="20"/>
          <w:szCs w:val="20"/>
        </w:rPr>
        <w:t>Preoperative MRI protocol and measurements</w:t>
      </w:r>
    </w:p>
    <w:p w14:paraId="7BCFC34C" w14:textId="522B6516" w:rsidR="00094BE8" w:rsidRP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All patients underwent preoperative MRI of the affected shoulder using a 1.5</w:t>
      </w:r>
      <w:r w:rsidRPr="00094BE8">
        <w:rPr>
          <w:rFonts w:ascii="Arial" w:hAnsi="Arial" w:cs="Arial"/>
          <w:sz w:val="20"/>
          <w:szCs w:val="20"/>
        </w:rPr>
        <w:noBreakHyphen/>
        <w:t xml:space="preserve">T scanner (Siemens </w:t>
      </w:r>
      <w:proofErr w:type="spellStart"/>
      <w:r w:rsidRPr="00094BE8">
        <w:rPr>
          <w:rFonts w:ascii="Arial" w:hAnsi="Arial" w:cs="Arial"/>
          <w:sz w:val="20"/>
          <w:szCs w:val="20"/>
        </w:rPr>
        <w:t>Magnetom</w:t>
      </w:r>
      <w:proofErr w:type="spellEnd"/>
      <w:r w:rsidRPr="00094BE8">
        <w:rPr>
          <w:rFonts w:ascii="Arial" w:hAnsi="Arial" w:cs="Arial"/>
          <w:sz w:val="20"/>
          <w:szCs w:val="20"/>
        </w:rPr>
        <w:t xml:space="preserve"> </w:t>
      </w:r>
      <w:proofErr w:type="spellStart"/>
      <w:r w:rsidRPr="00094BE8">
        <w:rPr>
          <w:rFonts w:ascii="Arial" w:hAnsi="Arial" w:cs="Arial"/>
          <w:sz w:val="20"/>
          <w:szCs w:val="20"/>
        </w:rPr>
        <w:t>Avanto</w:t>
      </w:r>
      <w:proofErr w:type="spellEnd"/>
      <w:r w:rsidRPr="00094BE8">
        <w:rPr>
          <w:rFonts w:ascii="Arial" w:hAnsi="Arial" w:cs="Arial"/>
          <w:sz w:val="20"/>
          <w:szCs w:val="20"/>
        </w:rPr>
        <w:t>, Erlangen, Germany) with a dedicated shoulder coil. The following parameters were assessed by two musculoskeletal radiologists blinded to clinical outcomes, with consensus reading:</w:t>
      </w:r>
    </w:p>
    <w:p w14:paraId="6C843D48" w14:textId="156620A4" w:rsidR="00094BE8" w:rsidRP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 xml:space="preserve">Hamada classification (grades 1–5) </w:t>
      </w:r>
      <w:r w:rsidR="00AE5ECE">
        <w:rPr>
          <w:rFonts w:ascii="Arial" w:hAnsi="Arial" w:cs="Arial"/>
          <w:color w:val="0000FF"/>
          <w:sz w:val="20"/>
          <w:szCs w:val="20"/>
        </w:rPr>
        <w:t>(</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_Ref230600141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14</w:t>
      </w:r>
      <w:r w:rsidR="00C7093F">
        <w:rPr>
          <w:rFonts w:ascii="Arial" w:hAnsi="Arial" w:cs="Arial"/>
          <w:color w:val="0000FF"/>
          <w:sz w:val="20"/>
          <w:szCs w:val="20"/>
        </w:rPr>
        <w:fldChar w:fldCharType="end"/>
      </w:r>
      <w:r w:rsidR="00AE5ECE" w:rsidRPr="00AE5ECE">
        <w:rPr>
          <w:rFonts w:ascii="Arial" w:hAnsi="Arial" w:cs="Arial"/>
          <w:color w:val="0000FF"/>
          <w:sz w:val="20"/>
          <w:szCs w:val="20"/>
        </w:rPr>
        <w:t>)</w:t>
      </w:r>
    </w:p>
    <w:p w14:paraId="282FEAF8" w14:textId="63657EC2" w:rsidR="00094BE8" w:rsidRP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 xml:space="preserve">Patte tendon retraction stage (I–III) </w:t>
      </w:r>
      <w:r w:rsidR="00AE5ECE">
        <w:rPr>
          <w:rFonts w:ascii="Arial" w:hAnsi="Arial" w:cs="Arial"/>
          <w:color w:val="0000FF"/>
          <w:sz w:val="20"/>
          <w:szCs w:val="20"/>
        </w:rPr>
        <w:t>(</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_Ref230600149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15</w:t>
      </w:r>
      <w:r w:rsidR="00C7093F">
        <w:rPr>
          <w:rFonts w:ascii="Arial" w:hAnsi="Arial" w:cs="Arial"/>
          <w:color w:val="0000FF"/>
          <w:sz w:val="20"/>
          <w:szCs w:val="20"/>
        </w:rPr>
        <w:fldChar w:fldCharType="end"/>
      </w:r>
      <w:r w:rsidR="00AE5ECE" w:rsidRPr="00AE5ECE">
        <w:rPr>
          <w:rFonts w:ascii="Arial" w:hAnsi="Arial" w:cs="Arial"/>
          <w:color w:val="0000FF"/>
          <w:sz w:val="20"/>
          <w:szCs w:val="20"/>
        </w:rPr>
        <w:t>)</w:t>
      </w:r>
    </w:p>
    <w:p w14:paraId="5155F0A7" w14:textId="77777777" w:rsidR="00094BE8" w:rsidRP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Mediolateral and anteroposterior tear size (mm)</w:t>
      </w:r>
    </w:p>
    <w:p w14:paraId="68FE1839" w14:textId="4FCAFAA4" w:rsidR="00094BE8" w:rsidRP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 xml:space="preserve">Fatty infiltration of supraspinatus and infraspinatus according to </w:t>
      </w:r>
      <w:proofErr w:type="spellStart"/>
      <w:r w:rsidRPr="00094BE8">
        <w:rPr>
          <w:rFonts w:ascii="Arial" w:hAnsi="Arial" w:cs="Arial"/>
          <w:sz w:val="20"/>
          <w:szCs w:val="20"/>
        </w:rPr>
        <w:t>Goutallier</w:t>
      </w:r>
      <w:proofErr w:type="spellEnd"/>
      <w:r w:rsidRPr="00094BE8">
        <w:rPr>
          <w:rFonts w:ascii="Arial" w:hAnsi="Arial" w:cs="Arial"/>
          <w:sz w:val="20"/>
          <w:szCs w:val="20"/>
        </w:rPr>
        <w:t xml:space="preserve"> classification (grades 0–4) </w:t>
      </w:r>
      <w:r w:rsidR="00AE5ECE">
        <w:rPr>
          <w:rFonts w:ascii="Arial" w:hAnsi="Arial" w:cs="Arial"/>
          <w:color w:val="0000FF"/>
          <w:sz w:val="20"/>
          <w:szCs w:val="20"/>
        </w:rPr>
        <w:t>(</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_Ref230600156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16</w:t>
      </w:r>
      <w:r w:rsidR="00C7093F">
        <w:rPr>
          <w:rFonts w:ascii="Arial" w:hAnsi="Arial" w:cs="Arial"/>
          <w:color w:val="0000FF"/>
          <w:sz w:val="20"/>
          <w:szCs w:val="20"/>
        </w:rPr>
        <w:fldChar w:fldCharType="end"/>
      </w:r>
      <w:r w:rsidR="00AE5ECE" w:rsidRPr="00AE5ECE">
        <w:rPr>
          <w:rFonts w:ascii="Arial" w:hAnsi="Arial" w:cs="Arial"/>
          <w:color w:val="0000FF"/>
          <w:sz w:val="20"/>
          <w:szCs w:val="20"/>
        </w:rPr>
        <w:t>)</w:t>
      </w:r>
    </w:p>
    <w:p w14:paraId="76F42F93" w14:textId="55B88F69" w:rsidR="00094BE8" w:rsidRP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Occupation ratio (muscle area divided by osseous fossa area) for supraspinatus and infraspinatus on the most lateral sagittal oblique Y</w:t>
      </w:r>
      <w:r w:rsidRPr="00094BE8">
        <w:rPr>
          <w:rFonts w:ascii="Arial" w:hAnsi="Arial" w:cs="Arial"/>
          <w:sz w:val="20"/>
          <w:szCs w:val="20"/>
        </w:rPr>
        <w:noBreakHyphen/>
        <w:t>view</w:t>
      </w:r>
      <w:r w:rsidR="00513ADE">
        <w:rPr>
          <w:rFonts w:ascii="Arial" w:hAnsi="Arial" w:cs="Arial"/>
          <w:sz w:val="20"/>
          <w:szCs w:val="20"/>
        </w:rPr>
        <w:t>,</w:t>
      </w:r>
      <w:r w:rsidRPr="00094BE8">
        <w:rPr>
          <w:rFonts w:ascii="Arial" w:hAnsi="Arial" w:cs="Arial"/>
          <w:sz w:val="20"/>
          <w:szCs w:val="20"/>
        </w:rPr>
        <w:t xml:space="preserve"> where the scapular spine </w:t>
      </w:r>
      <w:r w:rsidR="00513ADE">
        <w:rPr>
          <w:rFonts w:ascii="Arial" w:hAnsi="Arial" w:cs="Arial"/>
          <w:sz w:val="20"/>
          <w:szCs w:val="20"/>
        </w:rPr>
        <w:t xml:space="preserve">is </w:t>
      </w:r>
      <w:r w:rsidRPr="00094BE8">
        <w:rPr>
          <w:rFonts w:ascii="Arial" w:hAnsi="Arial" w:cs="Arial"/>
          <w:sz w:val="20"/>
          <w:szCs w:val="20"/>
        </w:rPr>
        <w:t xml:space="preserve">connected to the body </w:t>
      </w:r>
      <w:r w:rsidR="00AE5ECE">
        <w:rPr>
          <w:rFonts w:ascii="Arial" w:hAnsi="Arial" w:cs="Arial"/>
          <w:color w:val="0000FF"/>
          <w:sz w:val="20"/>
          <w:szCs w:val="20"/>
        </w:rPr>
        <w:t>(</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_Ref230600107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9</w:t>
      </w:r>
      <w:r w:rsidR="00C7093F">
        <w:rPr>
          <w:rFonts w:ascii="Arial" w:hAnsi="Arial" w:cs="Arial"/>
          <w:color w:val="0000FF"/>
          <w:sz w:val="20"/>
          <w:szCs w:val="20"/>
        </w:rPr>
        <w:fldChar w:fldCharType="end"/>
      </w:r>
      <w:r w:rsidR="00AE5ECE" w:rsidRPr="00AE5ECE">
        <w:rPr>
          <w:rFonts w:ascii="Arial" w:hAnsi="Arial" w:cs="Arial"/>
          <w:color w:val="0000FF"/>
          <w:sz w:val="20"/>
          <w:szCs w:val="20"/>
        </w:rPr>
        <w:t>)</w:t>
      </w:r>
    </w:p>
    <w:p w14:paraId="10D217B0" w14:textId="77777777" w:rsidR="00094BE8" w:rsidRP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Tangent sign (positive if the supraspinatus muscle did not cross a line from the scapular spine to the superior border of the coracoid)</w:t>
      </w:r>
    </w:p>
    <w:p w14:paraId="66E36306" w14:textId="24D26078" w:rsidR="00094BE8" w:rsidRP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 xml:space="preserve">Acromiohumeral distance (AHD, mm) – </w:t>
      </w:r>
      <w:r w:rsidR="00513ADE">
        <w:rPr>
          <w:rFonts w:ascii="Arial" w:hAnsi="Arial" w:cs="Arial"/>
          <w:sz w:val="20"/>
          <w:szCs w:val="20"/>
        </w:rPr>
        <w:t xml:space="preserve">the </w:t>
      </w:r>
      <w:r w:rsidRPr="00094BE8">
        <w:rPr>
          <w:rFonts w:ascii="Arial" w:hAnsi="Arial" w:cs="Arial"/>
          <w:sz w:val="20"/>
          <w:szCs w:val="20"/>
        </w:rPr>
        <w:t>shortest distance between the inferior acromion and humeral head</w:t>
      </w:r>
    </w:p>
    <w:p w14:paraId="3C5ABDD6" w14:textId="77777777" w:rsidR="00094BE8" w:rsidRPr="00094BE8" w:rsidRDefault="00094BE8" w:rsidP="00094BE8">
      <w:pPr>
        <w:pStyle w:val="NormalWeb"/>
        <w:spacing w:before="0" w:beforeAutospacing="0" w:after="0" w:afterAutospacing="0"/>
        <w:jc w:val="both"/>
        <w:rPr>
          <w:rFonts w:ascii="Arial" w:hAnsi="Arial" w:cs="Arial"/>
          <w:sz w:val="20"/>
          <w:szCs w:val="20"/>
        </w:rPr>
      </w:pPr>
      <w:proofErr w:type="spellStart"/>
      <w:r w:rsidRPr="00094BE8">
        <w:rPr>
          <w:rFonts w:ascii="Arial" w:hAnsi="Arial" w:cs="Arial"/>
          <w:sz w:val="20"/>
          <w:szCs w:val="20"/>
        </w:rPr>
        <w:t>Inferoglenohumeral</w:t>
      </w:r>
      <w:proofErr w:type="spellEnd"/>
      <w:r w:rsidRPr="00094BE8">
        <w:rPr>
          <w:rFonts w:ascii="Arial" w:hAnsi="Arial" w:cs="Arial"/>
          <w:sz w:val="20"/>
          <w:szCs w:val="20"/>
        </w:rPr>
        <w:t xml:space="preserve"> distance (IGHD, mm) – distance from the inferior glenoid rim to the humeral head on coronal sections</w:t>
      </w:r>
    </w:p>
    <w:p w14:paraId="0031A0B9" w14:textId="77777777" w:rsidR="00094BE8" w:rsidRP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 xml:space="preserve">Acromial morphology (type II or III according to </w:t>
      </w:r>
      <w:proofErr w:type="spellStart"/>
      <w:r w:rsidRPr="00094BE8">
        <w:rPr>
          <w:rFonts w:ascii="Arial" w:hAnsi="Arial" w:cs="Arial"/>
          <w:sz w:val="20"/>
          <w:szCs w:val="20"/>
        </w:rPr>
        <w:t>Bigliani</w:t>
      </w:r>
      <w:proofErr w:type="spellEnd"/>
      <w:r w:rsidRPr="00094BE8">
        <w:rPr>
          <w:rFonts w:ascii="Arial" w:hAnsi="Arial" w:cs="Arial"/>
          <w:sz w:val="20"/>
          <w:szCs w:val="20"/>
        </w:rPr>
        <w:t>)</w:t>
      </w:r>
    </w:p>
    <w:p w14:paraId="0AEF94DB" w14:textId="77777777" w:rsid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No formal inter</w:t>
      </w:r>
      <w:r w:rsidRPr="00094BE8">
        <w:rPr>
          <w:rFonts w:ascii="Arial" w:hAnsi="Arial" w:cs="Arial"/>
          <w:sz w:val="20"/>
          <w:szCs w:val="20"/>
        </w:rPr>
        <w:noBreakHyphen/>
        <w:t xml:space="preserve"> or </w:t>
      </w:r>
      <w:proofErr w:type="spellStart"/>
      <w:r w:rsidRPr="00094BE8">
        <w:rPr>
          <w:rFonts w:ascii="Arial" w:hAnsi="Arial" w:cs="Arial"/>
          <w:sz w:val="20"/>
          <w:szCs w:val="20"/>
        </w:rPr>
        <w:t>intraobserver</w:t>
      </w:r>
      <w:proofErr w:type="spellEnd"/>
      <w:r w:rsidRPr="00094BE8">
        <w:rPr>
          <w:rFonts w:ascii="Arial" w:hAnsi="Arial" w:cs="Arial"/>
          <w:sz w:val="20"/>
          <w:szCs w:val="20"/>
        </w:rPr>
        <w:t xml:space="preserve"> reliability analysis was performed, which is a limitation.</w:t>
      </w:r>
    </w:p>
    <w:p w14:paraId="3AEC2F8C" w14:textId="77777777" w:rsidR="001036C7" w:rsidRPr="00094BE8" w:rsidRDefault="001036C7" w:rsidP="00094BE8">
      <w:pPr>
        <w:pStyle w:val="NormalWeb"/>
        <w:spacing w:before="0" w:beforeAutospacing="0" w:after="0" w:afterAutospacing="0"/>
        <w:jc w:val="both"/>
        <w:rPr>
          <w:rFonts w:ascii="Arial" w:hAnsi="Arial" w:cs="Arial"/>
          <w:sz w:val="20"/>
          <w:szCs w:val="20"/>
        </w:rPr>
      </w:pPr>
    </w:p>
    <w:p w14:paraId="7803FFCC" w14:textId="606F5646" w:rsidR="00824E46" w:rsidRPr="00824E46" w:rsidRDefault="00094BE8" w:rsidP="00094BE8">
      <w:pPr>
        <w:pStyle w:val="NormalWeb"/>
        <w:spacing w:before="0" w:beforeAutospacing="0" w:after="0" w:afterAutospacing="0"/>
        <w:jc w:val="both"/>
        <w:rPr>
          <w:rFonts w:ascii="Arial" w:hAnsi="Arial" w:cs="Arial"/>
          <w:i/>
          <w:iCs/>
          <w:sz w:val="20"/>
          <w:szCs w:val="20"/>
        </w:rPr>
      </w:pPr>
      <w:r w:rsidRPr="00824E46">
        <w:rPr>
          <w:rFonts w:ascii="Arial" w:hAnsi="Arial" w:cs="Arial"/>
          <w:i/>
          <w:iCs/>
          <w:sz w:val="20"/>
          <w:szCs w:val="20"/>
        </w:rPr>
        <w:t>Surgical technique</w:t>
      </w:r>
    </w:p>
    <w:p w14:paraId="149A80FC" w14:textId="0E2D3983" w:rsidR="001036C7"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 xml:space="preserve">PRF preparation </w:t>
      </w:r>
    </w:p>
    <w:p w14:paraId="242E3927" w14:textId="29148E0E" w:rsid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lastRenderedPageBreak/>
        <w:t>All surgeries were performed by a single fellowship</w:t>
      </w:r>
      <w:r w:rsidRPr="00094BE8">
        <w:rPr>
          <w:rFonts w:ascii="Arial" w:hAnsi="Arial" w:cs="Arial"/>
          <w:sz w:val="20"/>
          <w:szCs w:val="20"/>
        </w:rPr>
        <w:noBreakHyphen/>
        <w:t xml:space="preserve">trained shoulder surgeon (NMK) to ensure technical consistency. The </w:t>
      </w:r>
      <w:proofErr w:type="spellStart"/>
      <w:r w:rsidRPr="00094BE8">
        <w:rPr>
          <w:rFonts w:ascii="Arial" w:hAnsi="Arial" w:cs="Arial"/>
          <w:sz w:val="20"/>
          <w:szCs w:val="20"/>
        </w:rPr>
        <w:t>Vivostat</w:t>
      </w:r>
      <w:proofErr w:type="spellEnd"/>
      <w:r w:rsidRPr="00094BE8">
        <w:rPr>
          <w:rFonts w:ascii="Arial" w:hAnsi="Arial" w:cs="Arial"/>
          <w:sz w:val="20"/>
          <w:szCs w:val="20"/>
        </w:rPr>
        <w:t xml:space="preserve"> system (</w:t>
      </w:r>
      <w:proofErr w:type="spellStart"/>
      <w:r w:rsidRPr="00094BE8">
        <w:rPr>
          <w:rFonts w:ascii="Arial" w:hAnsi="Arial" w:cs="Arial"/>
          <w:sz w:val="20"/>
          <w:szCs w:val="20"/>
        </w:rPr>
        <w:t>Vivostat</w:t>
      </w:r>
      <w:proofErr w:type="spellEnd"/>
      <w:r w:rsidRPr="00094BE8">
        <w:rPr>
          <w:rFonts w:ascii="Arial" w:hAnsi="Arial" w:cs="Arial"/>
          <w:sz w:val="20"/>
          <w:szCs w:val="20"/>
        </w:rPr>
        <w:t xml:space="preserve"> A/S, Allerød, Denmark) was used to prepare autologous platelet</w:t>
      </w:r>
      <w:r w:rsidRPr="00094BE8">
        <w:rPr>
          <w:rFonts w:ascii="Arial" w:hAnsi="Arial" w:cs="Arial"/>
          <w:sz w:val="20"/>
          <w:szCs w:val="20"/>
        </w:rPr>
        <w:noBreakHyphen/>
        <w:t>rich fibrin glue. Under general anaesthesia, 120 mL of venous blood was collected into a citrate</w:t>
      </w:r>
      <w:r w:rsidRPr="00094BE8">
        <w:rPr>
          <w:rFonts w:ascii="Arial" w:hAnsi="Arial" w:cs="Arial"/>
          <w:sz w:val="20"/>
          <w:szCs w:val="20"/>
        </w:rPr>
        <w:noBreakHyphen/>
        <w:t>containing kit. After centrifugation, the platelet</w:t>
      </w:r>
      <w:r w:rsidRPr="00094BE8">
        <w:rPr>
          <w:rFonts w:ascii="Arial" w:hAnsi="Arial" w:cs="Arial"/>
          <w:sz w:val="20"/>
          <w:szCs w:val="20"/>
        </w:rPr>
        <w:noBreakHyphen/>
        <w:t xml:space="preserve">rich fibrinogen fraction was aspirated and mixed with </w:t>
      </w:r>
      <w:proofErr w:type="spellStart"/>
      <w:r w:rsidRPr="00094BE8">
        <w:rPr>
          <w:rFonts w:ascii="Arial" w:hAnsi="Arial" w:cs="Arial"/>
          <w:sz w:val="20"/>
          <w:szCs w:val="20"/>
        </w:rPr>
        <w:t>batroxobin</w:t>
      </w:r>
      <w:proofErr w:type="spellEnd"/>
      <w:r w:rsidRPr="00094BE8">
        <w:rPr>
          <w:rFonts w:ascii="Arial" w:hAnsi="Arial" w:cs="Arial"/>
          <w:sz w:val="20"/>
          <w:szCs w:val="20"/>
        </w:rPr>
        <w:t xml:space="preserve"> activator, converting fibrinogen into liquid platelet</w:t>
      </w:r>
      <w:r w:rsidRPr="00094BE8">
        <w:rPr>
          <w:rFonts w:ascii="Arial" w:hAnsi="Arial" w:cs="Arial"/>
          <w:sz w:val="20"/>
          <w:szCs w:val="20"/>
        </w:rPr>
        <w:noBreakHyphen/>
        <w:t>rich Des</w:t>
      </w:r>
      <w:r w:rsidRPr="00094BE8">
        <w:rPr>
          <w:rFonts w:ascii="Arial" w:hAnsi="Arial" w:cs="Arial"/>
          <w:sz w:val="20"/>
          <w:szCs w:val="20"/>
        </w:rPr>
        <w:noBreakHyphen/>
        <w:t>A fibrin monomers. The preparation was then used intraoperatively as a spray.</w:t>
      </w:r>
    </w:p>
    <w:p w14:paraId="2D1C4613" w14:textId="77777777" w:rsidR="001036C7" w:rsidRPr="00094BE8" w:rsidRDefault="001036C7" w:rsidP="00094BE8">
      <w:pPr>
        <w:pStyle w:val="NormalWeb"/>
        <w:spacing w:before="0" w:beforeAutospacing="0" w:after="0" w:afterAutospacing="0"/>
        <w:jc w:val="both"/>
        <w:rPr>
          <w:rFonts w:ascii="Arial" w:hAnsi="Arial" w:cs="Arial"/>
          <w:sz w:val="20"/>
          <w:szCs w:val="20"/>
        </w:rPr>
      </w:pPr>
    </w:p>
    <w:p w14:paraId="11E0F200" w14:textId="77777777" w:rsidR="001036C7" w:rsidRPr="006A334F" w:rsidRDefault="00094BE8" w:rsidP="00094BE8">
      <w:pPr>
        <w:pStyle w:val="NormalWeb"/>
        <w:spacing w:before="0" w:beforeAutospacing="0" w:after="0" w:afterAutospacing="0"/>
        <w:jc w:val="both"/>
        <w:rPr>
          <w:rFonts w:ascii="Arial" w:hAnsi="Arial" w:cs="Arial"/>
          <w:sz w:val="20"/>
          <w:szCs w:val="20"/>
        </w:rPr>
      </w:pPr>
      <w:r w:rsidRPr="006A334F">
        <w:rPr>
          <w:rFonts w:ascii="Arial" w:hAnsi="Arial" w:cs="Arial"/>
          <w:sz w:val="20"/>
          <w:szCs w:val="20"/>
        </w:rPr>
        <w:t>Arthroscopic repair and PRF augmentation</w:t>
      </w:r>
    </w:p>
    <w:p w14:paraId="1C5359BD" w14:textId="46B46704" w:rsidR="00094BE8" w:rsidRP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Patients were placed in the beach</w:t>
      </w:r>
      <w:r w:rsidRPr="00094BE8">
        <w:rPr>
          <w:rFonts w:ascii="Arial" w:hAnsi="Arial" w:cs="Arial"/>
          <w:sz w:val="20"/>
          <w:szCs w:val="20"/>
        </w:rPr>
        <w:noBreakHyphen/>
        <w:t>chair position. Standard posterior, lateral, and anterior portals were established. After subacromial decompression and acromioplasty (when indicated), the rotator cuff tear was assessed. Mobilisation included anterior interval slides and release of the supraspinatus and infraspinatus tendons as needed. The greater tuberosity footprint was debrided to a bleeding bone surface.</w:t>
      </w:r>
    </w:p>
    <w:p w14:paraId="44A66451" w14:textId="6D22C038" w:rsidR="00094BE8" w:rsidRP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Two double</w:t>
      </w:r>
      <w:r w:rsidRPr="00094BE8">
        <w:rPr>
          <w:rFonts w:ascii="Arial" w:hAnsi="Arial" w:cs="Arial"/>
          <w:sz w:val="20"/>
          <w:szCs w:val="20"/>
        </w:rPr>
        <w:noBreakHyphen/>
        <w:t>loaded medial</w:t>
      </w:r>
      <w:r w:rsidRPr="00094BE8">
        <w:rPr>
          <w:rFonts w:ascii="Arial" w:hAnsi="Arial" w:cs="Arial"/>
          <w:sz w:val="20"/>
          <w:szCs w:val="20"/>
        </w:rPr>
        <w:noBreakHyphen/>
        <w:t>row anchors were placed approximately 2 mm lateral to the articular cartilage. Sutures were passed through the tendon using a suture</w:t>
      </w:r>
      <w:r w:rsidRPr="00094BE8">
        <w:rPr>
          <w:rFonts w:ascii="Arial" w:hAnsi="Arial" w:cs="Arial"/>
          <w:sz w:val="20"/>
          <w:szCs w:val="20"/>
        </w:rPr>
        <w:noBreakHyphen/>
        <w:t>passing device. Before lateral</w:t>
      </w:r>
      <w:r w:rsidRPr="00094BE8">
        <w:rPr>
          <w:rFonts w:ascii="Arial" w:hAnsi="Arial" w:cs="Arial"/>
          <w:sz w:val="20"/>
          <w:szCs w:val="20"/>
        </w:rPr>
        <w:noBreakHyphen/>
        <w:t>row fixation, the joint fluid was evacuated, and the liquid platelet</w:t>
      </w:r>
      <w:r w:rsidRPr="00094BE8">
        <w:rPr>
          <w:rFonts w:ascii="Arial" w:hAnsi="Arial" w:cs="Arial"/>
          <w:sz w:val="20"/>
          <w:szCs w:val="20"/>
        </w:rPr>
        <w:noBreakHyphen/>
        <w:t>rich Des</w:t>
      </w:r>
      <w:r w:rsidRPr="00094BE8">
        <w:rPr>
          <w:rFonts w:ascii="Arial" w:hAnsi="Arial" w:cs="Arial"/>
          <w:sz w:val="20"/>
          <w:szCs w:val="20"/>
        </w:rPr>
        <w:noBreakHyphen/>
        <w:t>A fibrin monomer mixed with buffer solution was sprayed onto the tendon</w:t>
      </w:r>
      <w:r w:rsidRPr="00094BE8">
        <w:rPr>
          <w:rFonts w:ascii="Arial" w:hAnsi="Arial" w:cs="Arial"/>
          <w:sz w:val="20"/>
          <w:szCs w:val="20"/>
        </w:rPr>
        <w:noBreakHyphen/>
        <w:t xml:space="preserve">bone interface. After </w:t>
      </w:r>
      <w:r w:rsidR="00CF1A8E">
        <w:rPr>
          <w:rFonts w:ascii="Arial" w:hAnsi="Arial" w:cs="Arial"/>
          <w:sz w:val="20"/>
          <w:szCs w:val="20"/>
        </w:rPr>
        <w:t>polymerisation</w:t>
      </w:r>
      <w:r w:rsidRPr="00094BE8">
        <w:rPr>
          <w:rFonts w:ascii="Arial" w:hAnsi="Arial" w:cs="Arial"/>
          <w:sz w:val="20"/>
          <w:szCs w:val="20"/>
        </w:rPr>
        <w:t xml:space="preserve"> (approx. 30 seconds), two lateral</w:t>
      </w:r>
      <w:r w:rsidRPr="00094BE8">
        <w:rPr>
          <w:rFonts w:ascii="Arial" w:hAnsi="Arial" w:cs="Arial"/>
          <w:sz w:val="20"/>
          <w:szCs w:val="20"/>
        </w:rPr>
        <w:noBreakHyphen/>
        <w:t>row anchors were inserted at the lateral border of the greater tuberosity, and sutures were tensioned evenly to compress the tendon onto the footprint. Skin was closed in layers.</w:t>
      </w:r>
    </w:p>
    <w:p w14:paraId="5BCC3641" w14:textId="77777777" w:rsidR="006A334F" w:rsidRDefault="006A334F" w:rsidP="00094BE8">
      <w:pPr>
        <w:pStyle w:val="NormalWeb"/>
        <w:spacing w:before="0" w:beforeAutospacing="0" w:after="0" w:afterAutospacing="0"/>
        <w:jc w:val="both"/>
        <w:rPr>
          <w:rFonts w:ascii="Arial" w:hAnsi="Arial" w:cs="Arial"/>
          <w:sz w:val="20"/>
          <w:szCs w:val="20"/>
        </w:rPr>
      </w:pPr>
    </w:p>
    <w:p w14:paraId="72D63760" w14:textId="1F174C06" w:rsidR="006A334F" w:rsidRPr="006A334F" w:rsidRDefault="00094BE8" w:rsidP="00094BE8">
      <w:pPr>
        <w:pStyle w:val="NormalWeb"/>
        <w:spacing w:before="0" w:beforeAutospacing="0" w:after="0" w:afterAutospacing="0"/>
        <w:jc w:val="both"/>
        <w:rPr>
          <w:rFonts w:ascii="Arial" w:hAnsi="Arial" w:cs="Arial"/>
          <w:i/>
          <w:iCs/>
          <w:sz w:val="20"/>
          <w:szCs w:val="20"/>
        </w:rPr>
      </w:pPr>
      <w:r w:rsidRPr="006A334F">
        <w:rPr>
          <w:rFonts w:ascii="Arial" w:hAnsi="Arial" w:cs="Arial"/>
          <w:i/>
          <w:iCs/>
          <w:sz w:val="20"/>
          <w:szCs w:val="20"/>
        </w:rPr>
        <w:t>Postoperative rehabilitation</w:t>
      </w:r>
    </w:p>
    <w:p w14:paraId="3E633F8B" w14:textId="2C206BD9" w:rsid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The shoulder was immobilised in an abduction brace for 6 weeks. During this period, passive forward elevation, backward extension, elbow and wrist exercises were allowed. Active range</w:t>
      </w:r>
      <w:r w:rsidRPr="00094BE8">
        <w:rPr>
          <w:rFonts w:ascii="Arial" w:hAnsi="Arial" w:cs="Arial"/>
          <w:sz w:val="20"/>
          <w:szCs w:val="20"/>
        </w:rPr>
        <w:noBreakHyphen/>
        <w:t>of</w:t>
      </w:r>
      <w:r w:rsidRPr="00094BE8">
        <w:rPr>
          <w:rFonts w:ascii="Arial" w:hAnsi="Arial" w:cs="Arial"/>
          <w:sz w:val="20"/>
          <w:szCs w:val="20"/>
        </w:rPr>
        <w:noBreakHyphen/>
        <w:t>motion exercises (forward elevation, abduction, internal/external rotation) began between weeks 6 and 12. Strengthening exercises started after 3 months. Rehabilitation compliance was encouraged but not objectively monitored.</w:t>
      </w:r>
    </w:p>
    <w:p w14:paraId="6F5304E7" w14:textId="77777777" w:rsidR="006A334F" w:rsidRPr="00094BE8" w:rsidRDefault="006A334F" w:rsidP="00094BE8">
      <w:pPr>
        <w:pStyle w:val="NormalWeb"/>
        <w:spacing w:before="0" w:beforeAutospacing="0" w:after="0" w:afterAutospacing="0"/>
        <w:jc w:val="both"/>
        <w:rPr>
          <w:rFonts w:ascii="Arial" w:hAnsi="Arial" w:cs="Arial"/>
          <w:sz w:val="20"/>
          <w:szCs w:val="20"/>
        </w:rPr>
      </w:pPr>
    </w:p>
    <w:p w14:paraId="343318CA" w14:textId="77777777" w:rsidR="006A334F" w:rsidRPr="006A334F" w:rsidRDefault="00094BE8" w:rsidP="00094BE8">
      <w:pPr>
        <w:pStyle w:val="NormalWeb"/>
        <w:spacing w:before="0" w:beforeAutospacing="0" w:after="0" w:afterAutospacing="0"/>
        <w:jc w:val="both"/>
        <w:rPr>
          <w:rFonts w:ascii="Arial" w:hAnsi="Arial" w:cs="Arial"/>
          <w:i/>
          <w:iCs/>
          <w:sz w:val="20"/>
          <w:szCs w:val="20"/>
        </w:rPr>
      </w:pPr>
      <w:r w:rsidRPr="006A334F">
        <w:rPr>
          <w:rFonts w:ascii="Arial" w:hAnsi="Arial" w:cs="Arial"/>
          <w:i/>
          <w:iCs/>
          <w:sz w:val="20"/>
          <w:szCs w:val="20"/>
        </w:rPr>
        <w:t>Outcome assessment</w:t>
      </w:r>
    </w:p>
    <w:p w14:paraId="00899E01" w14:textId="5B6FD263" w:rsidR="00094BE8" w:rsidRP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 xml:space="preserve">The primary outcome was tendon integrity on MRI at 6 months postoperatively, classified according to Sugaya </w:t>
      </w:r>
      <w:r w:rsidR="00AE5ECE" w:rsidRPr="00AE5ECE">
        <w:rPr>
          <w:rFonts w:ascii="Arial" w:hAnsi="Arial" w:cs="Arial"/>
          <w:color w:val="0000FF"/>
          <w:sz w:val="20"/>
          <w:szCs w:val="20"/>
        </w:rPr>
        <w:t>(</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_Ref230600187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17</w:t>
      </w:r>
      <w:r w:rsidR="00C7093F">
        <w:rPr>
          <w:rFonts w:ascii="Arial" w:hAnsi="Arial" w:cs="Arial"/>
          <w:color w:val="0000FF"/>
          <w:sz w:val="20"/>
          <w:szCs w:val="20"/>
        </w:rPr>
        <w:fldChar w:fldCharType="end"/>
      </w:r>
      <w:r w:rsidR="00AE5ECE" w:rsidRPr="00AE5ECE">
        <w:rPr>
          <w:rFonts w:ascii="Arial" w:hAnsi="Arial" w:cs="Arial"/>
          <w:color w:val="0000FF"/>
          <w:sz w:val="20"/>
          <w:szCs w:val="20"/>
        </w:rPr>
        <w:t>)</w:t>
      </w:r>
      <w:r w:rsidRPr="00094BE8">
        <w:rPr>
          <w:rFonts w:ascii="Arial" w:hAnsi="Arial" w:cs="Arial"/>
          <w:sz w:val="20"/>
          <w:szCs w:val="20"/>
        </w:rPr>
        <w:t>: grade I (sufficient thickness, homogeneous low intensity), II (sufficient thickness with partial high intensity), III (insufficient thickness without discontinuity), IV (minor discontinuity, small tear), V (major discontinuity, medium/large tear). Healing was defined as Sugaya grades I–III, and retear (failure) as grades IV–V.</w:t>
      </w:r>
    </w:p>
    <w:p w14:paraId="445C499E" w14:textId="77777777" w:rsidR="00F73400" w:rsidRDefault="00F73400" w:rsidP="00094BE8">
      <w:pPr>
        <w:pStyle w:val="NormalWeb"/>
        <w:spacing w:before="0" w:beforeAutospacing="0" w:after="0" w:afterAutospacing="0"/>
        <w:jc w:val="both"/>
        <w:rPr>
          <w:rFonts w:ascii="Arial" w:hAnsi="Arial" w:cs="Arial"/>
          <w:sz w:val="20"/>
          <w:szCs w:val="20"/>
        </w:rPr>
      </w:pPr>
    </w:p>
    <w:p w14:paraId="153C32E3" w14:textId="77777777" w:rsidR="00F73400" w:rsidRPr="00F73400" w:rsidRDefault="00094BE8" w:rsidP="00094BE8">
      <w:pPr>
        <w:pStyle w:val="NormalWeb"/>
        <w:spacing w:before="0" w:beforeAutospacing="0" w:after="0" w:afterAutospacing="0"/>
        <w:jc w:val="both"/>
        <w:rPr>
          <w:rFonts w:ascii="Arial" w:hAnsi="Arial" w:cs="Arial"/>
          <w:i/>
          <w:iCs/>
          <w:sz w:val="20"/>
          <w:szCs w:val="20"/>
        </w:rPr>
      </w:pPr>
      <w:r w:rsidRPr="00F73400">
        <w:rPr>
          <w:rFonts w:ascii="Arial" w:hAnsi="Arial" w:cs="Arial"/>
          <w:i/>
          <w:iCs/>
          <w:sz w:val="20"/>
          <w:szCs w:val="20"/>
        </w:rPr>
        <w:t>Statistical analysis</w:t>
      </w:r>
    </w:p>
    <w:p w14:paraId="3BCA0EEC" w14:textId="1E20B35D" w:rsidR="00094BE8" w:rsidRP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Given the exploratory nature of the study and the limited number of expected events, we did not perform a formal sample size calculation. Post</w:t>
      </w:r>
      <w:r w:rsidRPr="00094BE8">
        <w:rPr>
          <w:rFonts w:ascii="Arial" w:hAnsi="Arial" w:cs="Arial"/>
          <w:sz w:val="20"/>
          <w:szCs w:val="20"/>
        </w:rPr>
        <w:noBreakHyphen/>
        <w:t>hoc, the cohort of 60 patients with 15 retears provides a ratio of events</w:t>
      </w:r>
      <w:r w:rsidRPr="00094BE8">
        <w:rPr>
          <w:rFonts w:ascii="Arial" w:hAnsi="Arial" w:cs="Arial"/>
          <w:sz w:val="20"/>
          <w:szCs w:val="20"/>
        </w:rPr>
        <w:noBreakHyphen/>
        <w:t>per</w:t>
      </w:r>
      <w:r w:rsidRPr="00094BE8">
        <w:rPr>
          <w:rFonts w:ascii="Arial" w:hAnsi="Arial" w:cs="Arial"/>
          <w:sz w:val="20"/>
          <w:szCs w:val="20"/>
        </w:rPr>
        <w:noBreakHyphen/>
        <w:t xml:space="preserve">variable of 3:1 for a model with 5 predictors, which is below the recommended 10:1 </w:t>
      </w:r>
      <w:r w:rsidR="00AE5ECE" w:rsidRPr="00AE5ECE">
        <w:rPr>
          <w:rFonts w:ascii="Arial" w:hAnsi="Arial" w:cs="Arial"/>
          <w:color w:val="0000FF"/>
          <w:sz w:val="20"/>
          <w:szCs w:val="20"/>
        </w:rPr>
        <w:t>(</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_Ref230600194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18</w:t>
      </w:r>
      <w:r w:rsidR="00C7093F">
        <w:rPr>
          <w:rFonts w:ascii="Arial" w:hAnsi="Arial" w:cs="Arial"/>
          <w:color w:val="0000FF"/>
          <w:sz w:val="20"/>
          <w:szCs w:val="20"/>
        </w:rPr>
        <w:fldChar w:fldCharType="end"/>
      </w:r>
      <w:r w:rsidR="00AE5ECE" w:rsidRPr="00AE5ECE">
        <w:rPr>
          <w:rFonts w:ascii="Arial" w:hAnsi="Arial" w:cs="Arial"/>
          <w:color w:val="0000FF"/>
          <w:sz w:val="20"/>
          <w:szCs w:val="20"/>
        </w:rPr>
        <w:t>)</w:t>
      </w:r>
      <w:r w:rsidRPr="00094BE8">
        <w:rPr>
          <w:rFonts w:ascii="Arial" w:hAnsi="Arial" w:cs="Arial"/>
          <w:sz w:val="20"/>
          <w:szCs w:val="20"/>
        </w:rPr>
        <w:t>; therefore, all multivariate results should be interpreted as exploratory.</w:t>
      </w:r>
    </w:p>
    <w:p w14:paraId="51AB4003" w14:textId="46264DE6" w:rsid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Data were analysed using SPSS version 26.0 (IBM Corp., Armonk, NY, USA). Normality was assessed with the Shapiro</w:t>
      </w:r>
      <w:r w:rsidRPr="00094BE8">
        <w:rPr>
          <w:rFonts w:ascii="Arial" w:hAnsi="Arial" w:cs="Arial"/>
          <w:sz w:val="20"/>
          <w:szCs w:val="20"/>
        </w:rPr>
        <w:noBreakHyphen/>
        <w:t>Wilk test. Continuous variables were compared using independent t</w:t>
      </w:r>
      <w:r w:rsidRPr="00094BE8">
        <w:rPr>
          <w:rFonts w:ascii="Arial" w:hAnsi="Arial" w:cs="Arial"/>
          <w:sz w:val="20"/>
          <w:szCs w:val="20"/>
        </w:rPr>
        <w:noBreakHyphen/>
        <w:t>tests (normal) or Mann</w:t>
      </w:r>
      <w:r w:rsidRPr="00094BE8">
        <w:rPr>
          <w:rFonts w:ascii="Arial" w:hAnsi="Arial" w:cs="Arial"/>
          <w:sz w:val="20"/>
          <w:szCs w:val="20"/>
        </w:rPr>
        <w:noBreakHyphen/>
        <w:t>Whitney U tests (non</w:t>
      </w:r>
      <w:r w:rsidRPr="00094BE8">
        <w:rPr>
          <w:rFonts w:ascii="Arial" w:hAnsi="Arial" w:cs="Arial"/>
          <w:sz w:val="20"/>
          <w:szCs w:val="20"/>
        </w:rPr>
        <w:noBreakHyphen/>
        <w:t>normal). Categorical variables were compared using chi</w:t>
      </w:r>
      <w:r w:rsidRPr="00094BE8">
        <w:rPr>
          <w:rFonts w:ascii="Arial" w:hAnsi="Arial" w:cs="Arial"/>
          <w:sz w:val="20"/>
          <w:szCs w:val="20"/>
        </w:rPr>
        <w:noBreakHyphen/>
        <w:t xml:space="preserve">square or Fisher’s exact test. Univariate logistic regression was performed for each potential predictor. Variables with p &lt; 0.10 in univariate analysis were considered for multivariate logistic regression, but we limited the number of covariates to a maximum of 4 to avoid overfitting, selecting those with </w:t>
      </w:r>
      <w:r w:rsidR="00680E0D">
        <w:rPr>
          <w:rFonts w:ascii="Arial" w:hAnsi="Arial" w:cs="Arial"/>
          <w:sz w:val="20"/>
          <w:szCs w:val="20"/>
        </w:rPr>
        <w:t xml:space="preserve">the </w:t>
      </w:r>
      <w:r w:rsidRPr="00094BE8">
        <w:rPr>
          <w:rFonts w:ascii="Arial" w:hAnsi="Arial" w:cs="Arial"/>
          <w:sz w:val="20"/>
          <w:szCs w:val="20"/>
        </w:rPr>
        <w:t>strongest clinical relevance and lowest p</w:t>
      </w:r>
      <w:r w:rsidRPr="00094BE8">
        <w:rPr>
          <w:rFonts w:ascii="Arial" w:hAnsi="Arial" w:cs="Arial"/>
          <w:sz w:val="20"/>
          <w:szCs w:val="20"/>
        </w:rPr>
        <w:noBreakHyphen/>
        <w:t>values. Odds ratios (OR) with 95% confidence intervals (CI) were reported. Statistical significance was set at p &lt; 0.05 (two</w:t>
      </w:r>
      <w:r w:rsidRPr="00094BE8">
        <w:rPr>
          <w:rFonts w:ascii="Arial" w:hAnsi="Arial" w:cs="Arial"/>
          <w:sz w:val="20"/>
          <w:szCs w:val="20"/>
        </w:rPr>
        <w:noBreakHyphen/>
        <w:t>tailed).</w:t>
      </w:r>
    </w:p>
    <w:p w14:paraId="58BC86FA" w14:textId="77777777" w:rsidR="00F73400" w:rsidRPr="00094BE8" w:rsidRDefault="00F73400" w:rsidP="00094BE8">
      <w:pPr>
        <w:pStyle w:val="NormalWeb"/>
        <w:spacing w:before="0" w:beforeAutospacing="0" w:after="0" w:afterAutospacing="0"/>
        <w:jc w:val="both"/>
        <w:rPr>
          <w:rFonts w:ascii="Arial" w:hAnsi="Arial" w:cs="Arial"/>
          <w:sz w:val="20"/>
          <w:szCs w:val="20"/>
        </w:rPr>
      </w:pPr>
    </w:p>
    <w:p w14:paraId="7A7F05B8" w14:textId="2DC2156A" w:rsidR="00F73400" w:rsidRPr="00F73400" w:rsidRDefault="00F73400" w:rsidP="00094BE8">
      <w:pPr>
        <w:pStyle w:val="NormalWeb"/>
        <w:spacing w:before="0" w:beforeAutospacing="0" w:after="0" w:afterAutospacing="0"/>
        <w:jc w:val="both"/>
        <w:rPr>
          <w:rFonts w:ascii="Arial" w:hAnsi="Arial" w:cs="Arial"/>
          <w:b/>
          <w:bCs/>
          <w:sz w:val="20"/>
          <w:szCs w:val="20"/>
        </w:rPr>
      </w:pPr>
      <w:r w:rsidRPr="00F73400">
        <w:rPr>
          <w:rFonts w:ascii="Arial" w:hAnsi="Arial" w:cs="Arial"/>
          <w:b/>
          <w:bCs/>
          <w:sz w:val="20"/>
          <w:szCs w:val="20"/>
        </w:rPr>
        <w:t>Results</w:t>
      </w:r>
    </w:p>
    <w:p w14:paraId="02642839" w14:textId="77777777" w:rsidR="00331EED" w:rsidRPr="00331EED" w:rsidRDefault="00094BE8" w:rsidP="00094BE8">
      <w:pPr>
        <w:pStyle w:val="NormalWeb"/>
        <w:spacing w:before="0" w:beforeAutospacing="0" w:after="0" w:afterAutospacing="0"/>
        <w:jc w:val="both"/>
        <w:rPr>
          <w:rFonts w:ascii="Arial" w:hAnsi="Arial" w:cs="Arial"/>
          <w:i/>
          <w:iCs/>
          <w:sz w:val="20"/>
          <w:szCs w:val="20"/>
        </w:rPr>
      </w:pPr>
      <w:r w:rsidRPr="00331EED">
        <w:rPr>
          <w:rFonts w:ascii="Arial" w:hAnsi="Arial" w:cs="Arial"/>
          <w:i/>
          <w:iCs/>
          <w:sz w:val="20"/>
          <w:szCs w:val="20"/>
        </w:rPr>
        <w:t>Patient characteristics and healing outcomes</w:t>
      </w:r>
    </w:p>
    <w:p w14:paraId="31C3897C" w14:textId="15C6B03F" w:rsid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A total of 60 patients (45 male, 15 female) with a mean age of 60.3 ± 7.1 years were included. At 6</w:t>
      </w:r>
      <w:r w:rsidRPr="00094BE8">
        <w:rPr>
          <w:rFonts w:ascii="Arial" w:hAnsi="Arial" w:cs="Arial"/>
          <w:sz w:val="20"/>
          <w:szCs w:val="20"/>
        </w:rPr>
        <w:noBreakHyphen/>
        <w:t>month follow</w:t>
      </w:r>
      <w:r w:rsidRPr="00094BE8">
        <w:rPr>
          <w:rFonts w:ascii="Arial" w:hAnsi="Arial" w:cs="Arial"/>
          <w:sz w:val="20"/>
          <w:szCs w:val="20"/>
        </w:rPr>
        <w:noBreakHyphen/>
        <w:t>up MRI, 45 patients (75.0%) showed tendon healing (Sugaya I–III) and 15 (25.0%) had a retear (Sugaya IV–V). Baseline characteristics are summarised in Table 1.</w:t>
      </w:r>
    </w:p>
    <w:p w14:paraId="55C76E43" w14:textId="77777777" w:rsidR="00C7093F" w:rsidRDefault="00C7093F" w:rsidP="00094BE8">
      <w:pPr>
        <w:pStyle w:val="NormalWeb"/>
        <w:spacing w:before="0" w:beforeAutospacing="0" w:after="0" w:afterAutospacing="0"/>
        <w:jc w:val="both"/>
        <w:rPr>
          <w:rFonts w:ascii="Arial" w:hAnsi="Arial" w:cs="Arial"/>
          <w:sz w:val="20"/>
          <w:szCs w:val="20"/>
        </w:rPr>
        <w:sectPr w:rsidR="00C7093F" w:rsidSect="002B741E">
          <w:type w:val="continuous"/>
          <w:pgSz w:w="11906" w:h="16838"/>
          <w:pgMar w:top="1440" w:right="1440" w:bottom="1440" w:left="1440" w:header="720" w:footer="720" w:gutter="0"/>
          <w:pgNumType w:start="90"/>
          <w:cols w:num="2" w:space="432"/>
          <w:docGrid w:linePitch="360"/>
        </w:sectPr>
      </w:pPr>
    </w:p>
    <w:p w14:paraId="53B5F13A" w14:textId="77777777" w:rsidR="00E64C18" w:rsidRPr="00094BE8" w:rsidRDefault="00E64C18" w:rsidP="00094BE8">
      <w:pPr>
        <w:pStyle w:val="NormalWeb"/>
        <w:spacing w:before="0" w:beforeAutospacing="0" w:after="0" w:afterAutospacing="0"/>
        <w:jc w:val="both"/>
        <w:rPr>
          <w:rFonts w:ascii="Arial" w:hAnsi="Arial" w:cs="Arial"/>
          <w:sz w:val="20"/>
          <w:szCs w:val="20"/>
        </w:rPr>
      </w:pPr>
    </w:p>
    <w:p w14:paraId="357E1E15" w14:textId="2A4BC2B5" w:rsidR="00094BE8" w:rsidRPr="00331EED" w:rsidRDefault="00094BE8" w:rsidP="00331EED">
      <w:pPr>
        <w:pStyle w:val="NormalWeb"/>
        <w:spacing w:before="0" w:beforeAutospacing="0" w:after="0" w:afterAutospacing="0"/>
        <w:jc w:val="center"/>
        <w:rPr>
          <w:rFonts w:ascii="Arial" w:hAnsi="Arial" w:cs="Arial"/>
          <w:b/>
          <w:bCs/>
          <w:sz w:val="20"/>
          <w:szCs w:val="20"/>
        </w:rPr>
      </w:pPr>
      <w:r w:rsidRPr="00331EED">
        <w:rPr>
          <w:rFonts w:ascii="Arial" w:hAnsi="Arial" w:cs="Arial"/>
          <w:b/>
          <w:bCs/>
          <w:sz w:val="20"/>
          <w:szCs w:val="20"/>
        </w:rPr>
        <w:t>Table 1</w:t>
      </w:r>
      <w:r w:rsidR="00331EED">
        <w:rPr>
          <w:rFonts w:ascii="Arial" w:hAnsi="Arial" w:cs="Arial"/>
          <w:b/>
          <w:bCs/>
          <w:sz w:val="20"/>
          <w:szCs w:val="20"/>
        </w:rPr>
        <w:t>:</w:t>
      </w:r>
      <w:r w:rsidRPr="00331EED">
        <w:rPr>
          <w:rFonts w:ascii="Arial" w:hAnsi="Arial" w:cs="Arial"/>
          <w:b/>
          <w:bCs/>
          <w:sz w:val="20"/>
          <w:szCs w:val="20"/>
        </w:rPr>
        <w:t xml:space="preserve"> Demographic and preoperative clinical characteristics</w:t>
      </w:r>
    </w:p>
    <w:tbl>
      <w:tblPr>
        <w:tblW w:w="8099" w:type="dxa"/>
        <w:jc w:val="center"/>
        <w:tblLook w:val="04A0" w:firstRow="1" w:lastRow="0" w:firstColumn="1" w:lastColumn="0" w:noHBand="0" w:noVBand="1"/>
      </w:tblPr>
      <w:tblGrid>
        <w:gridCol w:w="3905"/>
        <w:gridCol w:w="1634"/>
        <w:gridCol w:w="1600"/>
        <w:gridCol w:w="960"/>
      </w:tblGrid>
      <w:tr w:rsidR="009A1118" w:rsidRPr="009A1118" w14:paraId="4043F6C8" w14:textId="77777777" w:rsidTr="00504B2A">
        <w:trPr>
          <w:trHeight w:val="50"/>
          <w:jc w:val="center"/>
        </w:trPr>
        <w:tc>
          <w:tcPr>
            <w:tcW w:w="3905" w:type="dxa"/>
            <w:tcBorders>
              <w:top w:val="single" w:sz="4" w:space="0" w:color="auto"/>
              <w:left w:val="nil"/>
              <w:bottom w:val="single" w:sz="4" w:space="0" w:color="auto"/>
              <w:right w:val="nil"/>
            </w:tcBorders>
            <w:noWrap/>
            <w:vAlign w:val="center"/>
            <w:hideMark/>
          </w:tcPr>
          <w:p w14:paraId="37CDC53C" w14:textId="77777777" w:rsidR="009A1118" w:rsidRPr="009A1118" w:rsidRDefault="009A1118" w:rsidP="009A1118">
            <w:pPr>
              <w:spacing w:after="0" w:line="240" w:lineRule="auto"/>
              <w:jc w:val="center"/>
              <w:rPr>
                <w:rFonts w:ascii="Arial" w:eastAsia="Times New Roman" w:hAnsi="Arial" w:cs="Arial"/>
                <w:b/>
                <w:bCs/>
                <w:color w:val="000000"/>
                <w:kern w:val="0"/>
                <w:sz w:val="20"/>
                <w:szCs w:val="20"/>
                <w:lang w:eastAsia="en-GB"/>
                <w14:ligatures w14:val="none"/>
              </w:rPr>
            </w:pPr>
            <w:r w:rsidRPr="009A1118">
              <w:rPr>
                <w:rFonts w:ascii="Arial" w:eastAsia="Times New Roman" w:hAnsi="Arial" w:cs="Arial"/>
                <w:b/>
                <w:bCs/>
                <w:color w:val="000000"/>
                <w:kern w:val="0"/>
                <w:sz w:val="20"/>
                <w:szCs w:val="20"/>
                <w:lang w:eastAsia="en-GB"/>
                <w14:ligatures w14:val="none"/>
              </w:rPr>
              <w:t>Variable</w:t>
            </w:r>
          </w:p>
        </w:tc>
        <w:tc>
          <w:tcPr>
            <w:tcW w:w="1634" w:type="dxa"/>
            <w:tcBorders>
              <w:top w:val="single" w:sz="4" w:space="0" w:color="auto"/>
              <w:left w:val="nil"/>
              <w:bottom w:val="single" w:sz="4" w:space="0" w:color="auto"/>
              <w:right w:val="nil"/>
            </w:tcBorders>
            <w:noWrap/>
            <w:vAlign w:val="center"/>
            <w:hideMark/>
          </w:tcPr>
          <w:p w14:paraId="6C1459F3" w14:textId="77777777" w:rsidR="009A1118" w:rsidRPr="009A1118" w:rsidRDefault="009A1118" w:rsidP="009A1118">
            <w:pPr>
              <w:spacing w:after="0" w:line="240" w:lineRule="auto"/>
              <w:jc w:val="center"/>
              <w:rPr>
                <w:rFonts w:ascii="Arial" w:eastAsia="Times New Roman" w:hAnsi="Arial" w:cs="Arial"/>
                <w:b/>
                <w:bCs/>
                <w:color w:val="000000"/>
                <w:kern w:val="0"/>
                <w:sz w:val="20"/>
                <w:szCs w:val="20"/>
                <w:lang w:eastAsia="en-GB"/>
                <w14:ligatures w14:val="none"/>
              </w:rPr>
            </w:pPr>
            <w:r w:rsidRPr="009A1118">
              <w:rPr>
                <w:rFonts w:ascii="Arial" w:eastAsia="Times New Roman" w:hAnsi="Arial" w:cs="Arial"/>
                <w:b/>
                <w:bCs/>
                <w:color w:val="000000"/>
                <w:kern w:val="0"/>
                <w:sz w:val="20"/>
                <w:szCs w:val="20"/>
                <w:lang w:eastAsia="en-GB"/>
                <w14:ligatures w14:val="none"/>
              </w:rPr>
              <w:t>Healed (n=45)</w:t>
            </w:r>
          </w:p>
        </w:tc>
        <w:tc>
          <w:tcPr>
            <w:tcW w:w="1600" w:type="dxa"/>
            <w:tcBorders>
              <w:top w:val="single" w:sz="4" w:space="0" w:color="auto"/>
              <w:left w:val="nil"/>
              <w:bottom w:val="single" w:sz="4" w:space="0" w:color="auto"/>
              <w:right w:val="nil"/>
            </w:tcBorders>
            <w:noWrap/>
            <w:vAlign w:val="center"/>
            <w:hideMark/>
          </w:tcPr>
          <w:p w14:paraId="63CBA03C" w14:textId="77777777" w:rsidR="009A1118" w:rsidRPr="009A1118" w:rsidRDefault="009A1118" w:rsidP="009A1118">
            <w:pPr>
              <w:spacing w:after="0" w:line="240" w:lineRule="auto"/>
              <w:jc w:val="center"/>
              <w:rPr>
                <w:rFonts w:ascii="Arial" w:eastAsia="Times New Roman" w:hAnsi="Arial" w:cs="Arial"/>
                <w:b/>
                <w:bCs/>
                <w:color w:val="000000"/>
                <w:kern w:val="0"/>
                <w:sz w:val="20"/>
                <w:szCs w:val="20"/>
                <w:lang w:eastAsia="en-GB"/>
                <w14:ligatures w14:val="none"/>
              </w:rPr>
            </w:pPr>
            <w:r w:rsidRPr="009A1118">
              <w:rPr>
                <w:rFonts w:ascii="Arial" w:eastAsia="Times New Roman" w:hAnsi="Arial" w:cs="Arial"/>
                <w:b/>
                <w:bCs/>
                <w:color w:val="000000"/>
                <w:kern w:val="0"/>
                <w:sz w:val="20"/>
                <w:szCs w:val="20"/>
                <w:lang w:eastAsia="en-GB"/>
                <w14:ligatures w14:val="none"/>
              </w:rPr>
              <w:t>Retear (n=15)</w:t>
            </w:r>
          </w:p>
        </w:tc>
        <w:tc>
          <w:tcPr>
            <w:tcW w:w="960" w:type="dxa"/>
            <w:tcBorders>
              <w:top w:val="single" w:sz="4" w:space="0" w:color="auto"/>
              <w:left w:val="nil"/>
              <w:bottom w:val="single" w:sz="4" w:space="0" w:color="auto"/>
              <w:right w:val="nil"/>
            </w:tcBorders>
            <w:noWrap/>
            <w:vAlign w:val="center"/>
            <w:hideMark/>
          </w:tcPr>
          <w:p w14:paraId="15CEF970" w14:textId="77777777" w:rsidR="009A1118" w:rsidRPr="009A1118" w:rsidRDefault="009A1118" w:rsidP="009A1118">
            <w:pPr>
              <w:spacing w:after="0" w:line="240" w:lineRule="auto"/>
              <w:jc w:val="center"/>
              <w:rPr>
                <w:rFonts w:ascii="Arial" w:eastAsia="Times New Roman" w:hAnsi="Arial" w:cs="Arial"/>
                <w:b/>
                <w:bCs/>
                <w:color w:val="000000"/>
                <w:kern w:val="0"/>
                <w:sz w:val="20"/>
                <w:szCs w:val="20"/>
                <w:lang w:eastAsia="en-GB"/>
                <w14:ligatures w14:val="none"/>
              </w:rPr>
            </w:pPr>
            <w:r w:rsidRPr="009A1118">
              <w:rPr>
                <w:rFonts w:ascii="Arial" w:eastAsia="Times New Roman" w:hAnsi="Arial" w:cs="Arial"/>
                <w:b/>
                <w:bCs/>
                <w:color w:val="000000"/>
                <w:kern w:val="0"/>
                <w:sz w:val="20"/>
                <w:szCs w:val="20"/>
                <w:lang w:eastAsia="en-GB"/>
                <w14:ligatures w14:val="none"/>
              </w:rPr>
              <w:t>p value</w:t>
            </w:r>
          </w:p>
        </w:tc>
      </w:tr>
      <w:tr w:rsidR="009A1118" w:rsidRPr="009A1118" w14:paraId="0BDEC1E1" w14:textId="77777777" w:rsidTr="00504B2A">
        <w:trPr>
          <w:trHeight w:val="50"/>
          <w:jc w:val="center"/>
        </w:trPr>
        <w:tc>
          <w:tcPr>
            <w:tcW w:w="3905" w:type="dxa"/>
            <w:tcBorders>
              <w:top w:val="nil"/>
              <w:left w:val="nil"/>
              <w:bottom w:val="nil"/>
              <w:right w:val="nil"/>
            </w:tcBorders>
            <w:noWrap/>
            <w:vAlign w:val="center"/>
            <w:hideMark/>
          </w:tcPr>
          <w:p w14:paraId="0A5F403C" w14:textId="77777777" w:rsidR="009A1118" w:rsidRPr="009A1118" w:rsidRDefault="009A1118" w:rsidP="009A1118">
            <w:pPr>
              <w:spacing w:after="0" w:line="240" w:lineRule="auto"/>
              <w:rPr>
                <w:rFonts w:ascii="Arial" w:eastAsia="Times New Roman" w:hAnsi="Arial" w:cs="Arial"/>
                <w:color w:val="000000"/>
                <w:kern w:val="0"/>
                <w:sz w:val="20"/>
                <w:szCs w:val="20"/>
                <w:lang w:eastAsia="en-GB"/>
                <w14:ligatures w14:val="none"/>
              </w:rPr>
            </w:pPr>
            <w:r w:rsidRPr="009A1118">
              <w:rPr>
                <w:rFonts w:ascii="Arial" w:eastAsia="Times New Roman" w:hAnsi="Arial" w:cs="Arial"/>
                <w:color w:val="000000"/>
                <w:kern w:val="0"/>
                <w:sz w:val="20"/>
                <w:szCs w:val="20"/>
                <w:lang w:eastAsia="en-GB"/>
                <w14:ligatures w14:val="none"/>
              </w:rPr>
              <w:t>Age, years (mean ± SD)</w:t>
            </w:r>
          </w:p>
        </w:tc>
        <w:tc>
          <w:tcPr>
            <w:tcW w:w="1634" w:type="dxa"/>
            <w:tcBorders>
              <w:top w:val="nil"/>
              <w:left w:val="nil"/>
              <w:bottom w:val="nil"/>
              <w:right w:val="nil"/>
            </w:tcBorders>
            <w:noWrap/>
            <w:vAlign w:val="center"/>
            <w:hideMark/>
          </w:tcPr>
          <w:p w14:paraId="032FEEA7" w14:textId="77777777" w:rsidR="009A1118" w:rsidRPr="009A1118" w:rsidRDefault="009A1118" w:rsidP="00504B2A">
            <w:pPr>
              <w:spacing w:after="0" w:line="240" w:lineRule="auto"/>
              <w:jc w:val="center"/>
              <w:rPr>
                <w:rFonts w:ascii="Arial" w:eastAsia="Times New Roman" w:hAnsi="Arial" w:cs="Arial"/>
                <w:color w:val="000000"/>
                <w:kern w:val="0"/>
                <w:sz w:val="20"/>
                <w:szCs w:val="20"/>
                <w:lang w:eastAsia="en-GB"/>
                <w14:ligatures w14:val="none"/>
              </w:rPr>
            </w:pPr>
            <w:r w:rsidRPr="009A1118">
              <w:rPr>
                <w:rFonts w:ascii="Arial" w:eastAsia="Times New Roman" w:hAnsi="Arial" w:cs="Arial"/>
                <w:color w:val="000000"/>
                <w:kern w:val="0"/>
                <w:sz w:val="20"/>
                <w:szCs w:val="20"/>
                <w:lang w:eastAsia="en-GB"/>
                <w14:ligatures w14:val="none"/>
              </w:rPr>
              <w:t>58.8 ± 1.2</w:t>
            </w:r>
          </w:p>
        </w:tc>
        <w:tc>
          <w:tcPr>
            <w:tcW w:w="1600" w:type="dxa"/>
            <w:tcBorders>
              <w:top w:val="nil"/>
              <w:left w:val="nil"/>
              <w:bottom w:val="nil"/>
              <w:right w:val="nil"/>
            </w:tcBorders>
            <w:noWrap/>
            <w:vAlign w:val="center"/>
            <w:hideMark/>
          </w:tcPr>
          <w:p w14:paraId="60E340A0" w14:textId="77777777" w:rsidR="009A1118" w:rsidRPr="009A1118" w:rsidRDefault="009A1118" w:rsidP="00504B2A">
            <w:pPr>
              <w:spacing w:after="0" w:line="240" w:lineRule="auto"/>
              <w:jc w:val="center"/>
              <w:rPr>
                <w:rFonts w:ascii="Arial" w:eastAsia="Times New Roman" w:hAnsi="Arial" w:cs="Arial"/>
                <w:color w:val="000000"/>
                <w:kern w:val="0"/>
                <w:sz w:val="20"/>
                <w:szCs w:val="20"/>
                <w:lang w:eastAsia="en-GB"/>
                <w14:ligatures w14:val="none"/>
              </w:rPr>
            </w:pPr>
            <w:r w:rsidRPr="009A1118">
              <w:rPr>
                <w:rFonts w:ascii="Arial" w:eastAsia="Times New Roman" w:hAnsi="Arial" w:cs="Arial"/>
                <w:color w:val="000000"/>
                <w:kern w:val="0"/>
                <w:sz w:val="20"/>
                <w:szCs w:val="20"/>
                <w:lang w:eastAsia="en-GB"/>
                <w14:ligatures w14:val="none"/>
              </w:rPr>
              <w:t>64.7 ± 1.7</w:t>
            </w:r>
          </w:p>
        </w:tc>
        <w:tc>
          <w:tcPr>
            <w:tcW w:w="960" w:type="dxa"/>
            <w:tcBorders>
              <w:top w:val="nil"/>
              <w:left w:val="nil"/>
              <w:bottom w:val="nil"/>
              <w:right w:val="nil"/>
            </w:tcBorders>
            <w:noWrap/>
            <w:vAlign w:val="center"/>
            <w:hideMark/>
          </w:tcPr>
          <w:p w14:paraId="093330AB" w14:textId="77777777" w:rsidR="009A1118" w:rsidRPr="009A1118" w:rsidRDefault="009A1118" w:rsidP="00504B2A">
            <w:pPr>
              <w:spacing w:after="0" w:line="240" w:lineRule="auto"/>
              <w:jc w:val="center"/>
              <w:rPr>
                <w:rFonts w:ascii="Arial" w:eastAsia="Times New Roman" w:hAnsi="Arial" w:cs="Arial"/>
                <w:color w:val="000000"/>
                <w:kern w:val="0"/>
                <w:sz w:val="20"/>
                <w:szCs w:val="20"/>
                <w:lang w:eastAsia="en-GB"/>
                <w14:ligatures w14:val="none"/>
              </w:rPr>
            </w:pPr>
            <w:r w:rsidRPr="009A1118">
              <w:rPr>
                <w:rFonts w:ascii="Arial" w:eastAsia="Times New Roman" w:hAnsi="Arial" w:cs="Arial"/>
                <w:color w:val="000000"/>
                <w:kern w:val="0"/>
                <w:sz w:val="20"/>
                <w:szCs w:val="20"/>
                <w:lang w:eastAsia="en-GB"/>
                <w14:ligatures w14:val="none"/>
              </w:rPr>
              <w:t>0.012*</w:t>
            </w:r>
          </w:p>
        </w:tc>
      </w:tr>
      <w:tr w:rsidR="009A1118" w:rsidRPr="009A1118" w14:paraId="18963696" w14:textId="77777777" w:rsidTr="00504B2A">
        <w:trPr>
          <w:trHeight w:val="60"/>
          <w:jc w:val="center"/>
        </w:trPr>
        <w:tc>
          <w:tcPr>
            <w:tcW w:w="3905" w:type="dxa"/>
            <w:tcBorders>
              <w:top w:val="nil"/>
              <w:left w:val="nil"/>
              <w:bottom w:val="nil"/>
              <w:right w:val="nil"/>
            </w:tcBorders>
            <w:noWrap/>
            <w:vAlign w:val="center"/>
            <w:hideMark/>
          </w:tcPr>
          <w:p w14:paraId="7BC0793A" w14:textId="77777777" w:rsidR="009A1118" w:rsidRPr="009A1118" w:rsidRDefault="009A1118" w:rsidP="009A1118">
            <w:pPr>
              <w:spacing w:after="0" w:line="240" w:lineRule="auto"/>
              <w:rPr>
                <w:rFonts w:ascii="Arial" w:eastAsia="Times New Roman" w:hAnsi="Arial" w:cs="Arial"/>
                <w:color w:val="000000"/>
                <w:kern w:val="0"/>
                <w:sz w:val="20"/>
                <w:szCs w:val="20"/>
                <w:lang w:eastAsia="en-GB"/>
                <w14:ligatures w14:val="none"/>
              </w:rPr>
            </w:pPr>
            <w:r w:rsidRPr="009A1118">
              <w:rPr>
                <w:rFonts w:ascii="Arial" w:eastAsia="Times New Roman" w:hAnsi="Arial" w:cs="Arial"/>
                <w:color w:val="000000"/>
                <w:kern w:val="0"/>
                <w:sz w:val="20"/>
                <w:szCs w:val="20"/>
                <w:lang w:eastAsia="en-GB"/>
                <w14:ligatures w14:val="none"/>
              </w:rPr>
              <w:t>Male sex, n (%)</w:t>
            </w:r>
          </w:p>
        </w:tc>
        <w:tc>
          <w:tcPr>
            <w:tcW w:w="1634" w:type="dxa"/>
            <w:tcBorders>
              <w:top w:val="nil"/>
              <w:left w:val="nil"/>
              <w:bottom w:val="nil"/>
              <w:right w:val="nil"/>
            </w:tcBorders>
            <w:noWrap/>
            <w:vAlign w:val="center"/>
            <w:hideMark/>
          </w:tcPr>
          <w:p w14:paraId="21F79185" w14:textId="77777777" w:rsidR="009A1118" w:rsidRPr="009A1118" w:rsidRDefault="009A1118" w:rsidP="00504B2A">
            <w:pPr>
              <w:spacing w:after="0" w:line="240" w:lineRule="auto"/>
              <w:jc w:val="center"/>
              <w:rPr>
                <w:rFonts w:ascii="Arial" w:eastAsia="Times New Roman" w:hAnsi="Arial" w:cs="Arial"/>
                <w:color w:val="000000"/>
                <w:kern w:val="0"/>
                <w:sz w:val="20"/>
                <w:szCs w:val="20"/>
                <w:lang w:eastAsia="en-GB"/>
                <w14:ligatures w14:val="none"/>
              </w:rPr>
            </w:pPr>
            <w:r w:rsidRPr="009A1118">
              <w:rPr>
                <w:rFonts w:ascii="Arial" w:eastAsia="Times New Roman" w:hAnsi="Arial" w:cs="Arial"/>
                <w:color w:val="000000"/>
                <w:kern w:val="0"/>
                <w:sz w:val="20"/>
                <w:szCs w:val="20"/>
                <w:lang w:eastAsia="en-GB"/>
                <w14:ligatures w14:val="none"/>
              </w:rPr>
              <w:t>26 (57.8)</w:t>
            </w:r>
          </w:p>
        </w:tc>
        <w:tc>
          <w:tcPr>
            <w:tcW w:w="1600" w:type="dxa"/>
            <w:tcBorders>
              <w:top w:val="nil"/>
              <w:left w:val="nil"/>
              <w:bottom w:val="nil"/>
              <w:right w:val="nil"/>
            </w:tcBorders>
            <w:noWrap/>
            <w:vAlign w:val="center"/>
            <w:hideMark/>
          </w:tcPr>
          <w:p w14:paraId="31966113" w14:textId="77777777" w:rsidR="009A1118" w:rsidRPr="009A1118" w:rsidRDefault="009A1118" w:rsidP="00504B2A">
            <w:pPr>
              <w:spacing w:after="0" w:line="240" w:lineRule="auto"/>
              <w:jc w:val="center"/>
              <w:rPr>
                <w:rFonts w:ascii="Arial" w:eastAsia="Times New Roman" w:hAnsi="Arial" w:cs="Arial"/>
                <w:color w:val="000000"/>
                <w:kern w:val="0"/>
                <w:sz w:val="20"/>
                <w:szCs w:val="20"/>
                <w:lang w:eastAsia="en-GB"/>
                <w14:ligatures w14:val="none"/>
              </w:rPr>
            </w:pPr>
            <w:r w:rsidRPr="009A1118">
              <w:rPr>
                <w:rFonts w:ascii="Arial" w:eastAsia="Times New Roman" w:hAnsi="Arial" w:cs="Arial"/>
                <w:color w:val="000000"/>
                <w:kern w:val="0"/>
                <w:sz w:val="20"/>
                <w:szCs w:val="20"/>
                <w:lang w:eastAsia="en-GB"/>
                <w14:ligatures w14:val="none"/>
              </w:rPr>
              <w:t>10 (66.7)</w:t>
            </w:r>
          </w:p>
        </w:tc>
        <w:tc>
          <w:tcPr>
            <w:tcW w:w="960" w:type="dxa"/>
            <w:tcBorders>
              <w:top w:val="nil"/>
              <w:left w:val="nil"/>
              <w:bottom w:val="nil"/>
              <w:right w:val="nil"/>
            </w:tcBorders>
            <w:noWrap/>
            <w:vAlign w:val="center"/>
            <w:hideMark/>
          </w:tcPr>
          <w:p w14:paraId="7116F3DC" w14:textId="77777777" w:rsidR="009A1118" w:rsidRPr="009A1118" w:rsidRDefault="009A1118" w:rsidP="00504B2A">
            <w:pPr>
              <w:spacing w:after="0" w:line="240" w:lineRule="auto"/>
              <w:jc w:val="center"/>
              <w:rPr>
                <w:rFonts w:ascii="Arial" w:eastAsia="Times New Roman" w:hAnsi="Arial" w:cs="Arial"/>
                <w:color w:val="000000"/>
                <w:kern w:val="0"/>
                <w:sz w:val="20"/>
                <w:szCs w:val="20"/>
                <w:lang w:eastAsia="en-GB"/>
                <w14:ligatures w14:val="none"/>
              </w:rPr>
            </w:pPr>
            <w:r w:rsidRPr="009A1118">
              <w:rPr>
                <w:rFonts w:ascii="Arial" w:eastAsia="Times New Roman" w:hAnsi="Arial" w:cs="Arial"/>
                <w:color w:val="000000"/>
                <w:kern w:val="0"/>
                <w:sz w:val="20"/>
                <w:szCs w:val="20"/>
                <w:lang w:eastAsia="en-GB"/>
                <w14:ligatures w14:val="none"/>
              </w:rPr>
              <w:t>0.543</w:t>
            </w:r>
          </w:p>
        </w:tc>
      </w:tr>
      <w:tr w:rsidR="009A1118" w:rsidRPr="009A1118" w14:paraId="47A6F1AA" w14:textId="77777777" w:rsidTr="00504B2A">
        <w:trPr>
          <w:trHeight w:val="60"/>
          <w:jc w:val="center"/>
        </w:trPr>
        <w:tc>
          <w:tcPr>
            <w:tcW w:w="3905" w:type="dxa"/>
            <w:tcBorders>
              <w:top w:val="nil"/>
              <w:left w:val="nil"/>
              <w:bottom w:val="nil"/>
              <w:right w:val="nil"/>
            </w:tcBorders>
            <w:noWrap/>
            <w:vAlign w:val="center"/>
            <w:hideMark/>
          </w:tcPr>
          <w:p w14:paraId="55B8CF1D" w14:textId="77777777" w:rsidR="009A1118" w:rsidRPr="009A1118" w:rsidRDefault="009A1118" w:rsidP="009A1118">
            <w:pPr>
              <w:spacing w:after="0" w:line="240" w:lineRule="auto"/>
              <w:rPr>
                <w:rFonts w:ascii="Arial" w:eastAsia="Times New Roman" w:hAnsi="Arial" w:cs="Arial"/>
                <w:color w:val="000000"/>
                <w:kern w:val="0"/>
                <w:sz w:val="20"/>
                <w:szCs w:val="20"/>
                <w:lang w:eastAsia="en-GB"/>
                <w14:ligatures w14:val="none"/>
              </w:rPr>
            </w:pPr>
            <w:r w:rsidRPr="009A1118">
              <w:rPr>
                <w:rFonts w:ascii="Arial" w:eastAsia="Times New Roman" w:hAnsi="Arial" w:cs="Arial"/>
                <w:color w:val="000000"/>
                <w:kern w:val="0"/>
                <w:sz w:val="20"/>
                <w:szCs w:val="20"/>
                <w:lang w:eastAsia="en-GB"/>
                <w14:ligatures w14:val="none"/>
              </w:rPr>
              <w:t>Symptom duration, months (mean ± SD)</w:t>
            </w:r>
          </w:p>
        </w:tc>
        <w:tc>
          <w:tcPr>
            <w:tcW w:w="1634" w:type="dxa"/>
            <w:tcBorders>
              <w:top w:val="nil"/>
              <w:left w:val="nil"/>
              <w:bottom w:val="nil"/>
              <w:right w:val="nil"/>
            </w:tcBorders>
            <w:noWrap/>
            <w:vAlign w:val="center"/>
            <w:hideMark/>
          </w:tcPr>
          <w:p w14:paraId="2DEE7556" w14:textId="77777777" w:rsidR="009A1118" w:rsidRPr="009A1118" w:rsidRDefault="009A1118" w:rsidP="00504B2A">
            <w:pPr>
              <w:spacing w:after="0" w:line="240" w:lineRule="auto"/>
              <w:jc w:val="center"/>
              <w:rPr>
                <w:rFonts w:ascii="Arial" w:eastAsia="Times New Roman" w:hAnsi="Arial" w:cs="Arial"/>
                <w:color w:val="000000"/>
                <w:kern w:val="0"/>
                <w:sz w:val="20"/>
                <w:szCs w:val="20"/>
                <w:lang w:eastAsia="en-GB"/>
                <w14:ligatures w14:val="none"/>
              </w:rPr>
            </w:pPr>
            <w:r w:rsidRPr="009A1118">
              <w:rPr>
                <w:rFonts w:ascii="Arial" w:eastAsia="Times New Roman" w:hAnsi="Arial" w:cs="Arial"/>
                <w:color w:val="000000"/>
                <w:kern w:val="0"/>
                <w:sz w:val="20"/>
                <w:szCs w:val="20"/>
                <w:lang w:eastAsia="en-GB"/>
                <w14:ligatures w14:val="none"/>
              </w:rPr>
              <w:t>7.71 ± 2.99</w:t>
            </w:r>
          </w:p>
        </w:tc>
        <w:tc>
          <w:tcPr>
            <w:tcW w:w="1600" w:type="dxa"/>
            <w:tcBorders>
              <w:top w:val="nil"/>
              <w:left w:val="nil"/>
              <w:bottom w:val="nil"/>
              <w:right w:val="nil"/>
            </w:tcBorders>
            <w:noWrap/>
            <w:vAlign w:val="center"/>
            <w:hideMark/>
          </w:tcPr>
          <w:p w14:paraId="30182A00" w14:textId="77777777" w:rsidR="009A1118" w:rsidRPr="009A1118" w:rsidRDefault="009A1118" w:rsidP="00504B2A">
            <w:pPr>
              <w:spacing w:after="0" w:line="240" w:lineRule="auto"/>
              <w:jc w:val="center"/>
              <w:rPr>
                <w:rFonts w:ascii="Arial" w:eastAsia="Times New Roman" w:hAnsi="Arial" w:cs="Arial"/>
                <w:color w:val="000000"/>
                <w:kern w:val="0"/>
                <w:sz w:val="20"/>
                <w:szCs w:val="20"/>
                <w:lang w:eastAsia="en-GB"/>
                <w14:ligatures w14:val="none"/>
              </w:rPr>
            </w:pPr>
            <w:r w:rsidRPr="009A1118">
              <w:rPr>
                <w:rFonts w:ascii="Arial" w:eastAsia="Times New Roman" w:hAnsi="Arial" w:cs="Arial"/>
                <w:color w:val="000000"/>
                <w:kern w:val="0"/>
                <w:sz w:val="20"/>
                <w:szCs w:val="20"/>
                <w:lang w:eastAsia="en-GB"/>
                <w14:ligatures w14:val="none"/>
              </w:rPr>
              <w:t>7.73 ± 2.89</w:t>
            </w:r>
          </w:p>
        </w:tc>
        <w:tc>
          <w:tcPr>
            <w:tcW w:w="960" w:type="dxa"/>
            <w:tcBorders>
              <w:top w:val="nil"/>
              <w:left w:val="nil"/>
              <w:bottom w:val="nil"/>
              <w:right w:val="nil"/>
            </w:tcBorders>
            <w:noWrap/>
            <w:vAlign w:val="center"/>
            <w:hideMark/>
          </w:tcPr>
          <w:p w14:paraId="2A101FF6" w14:textId="77777777" w:rsidR="009A1118" w:rsidRPr="009A1118" w:rsidRDefault="009A1118" w:rsidP="00504B2A">
            <w:pPr>
              <w:spacing w:after="0" w:line="240" w:lineRule="auto"/>
              <w:jc w:val="center"/>
              <w:rPr>
                <w:rFonts w:ascii="Arial" w:eastAsia="Times New Roman" w:hAnsi="Arial" w:cs="Arial"/>
                <w:color w:val="000000"/>
                <w:kern w:val="0"/>
                <w:sz w:val="20"/>
                <w:szCs w:val="20"/>
                <w:lang w:eastAsia="en-GB"/>
                <w14:ligatures w14:val="none"/>
              </w:rPr>
            </w:pPr>
            <w:r w:rsidRPr="009A1118">
              <w:rPr>
                <w:rFonts w:ascii="Arial" w:eastAsia="Times New Roman" w:hAnsi="Arial" w:cs="Arial"/>
                <w:color w:val="000000"/>
                <w:kern w:val="0"/>
                <w:sz w:val="20"/>
                <w:szCs w:val="20"/>
                <w:lang w:eastAsia="en-GB"/>
                <w14:ligatures w14:val="none"/>
              </w:rPr>
              <w:t>0.98</w:t>
            </w:r>
          </w:p>
        </w:tc>
      </w:tr>
      <w:tr w:rsidR="009A1118" w:rsidRPr="009A1118" w14:paraId="1A32788E" w14:textId="77777777" w:rsidTr="00504B2A">
        <w:trPr>
          <w:trHeight w:val="60"/>
          <w:jc w:val="center"/>
        </w:trPr>
        <w:tc>
          <w:tcPr>
            <w:tcW w:w="3905" w:type="dxa"/>
            <w:tcBorders>
              <w:top w:val="nil"/>
              <w:left w:val="nil"/>
              <w:bottom w:val="nil"/>
              <w:right w:val="nil"/>
            </w:tcBorders>
            <w:noWrap/>
            <w:vAlign w:val="center"/>
            <w:hideMark/>
          </w:tcPr>
          <w:p w14:paraId="6A91E3AB" w14:textId="77777777" w:rsidR="009A1118" w:rsidRPr="009A1118" w:rsidRDefault="009A1118" w:rsidP="009A1118">
            <w:pPr>
              <w:spacing w:after="0" w:line="240" w:lineRule="auto"/>
              <w:rPr>
                <w:rFonts w:ascii="Arial" w:eastAsia="Times New Roman" w:hAnsi="Arial" w:cs="Arial"/>
                <w:color w:val="000000"/>
                <w:kern w:val="0"/>
                <w:sz w:val="20"/>
                <w:szCs w:val="20"/>
                <w:lang w:eastAsia="en-GB"/>
                <w14:ligatures w14:val="none"/>
              </w:rPr>
            </w:pPr>
            <w:r w:rsidRPr="009A1118">
              <w:rPr>
                <w:rFonts w:ascii="Arial" w:eastAsia="Times New Roman" w:hAnsi="Arial" w:cs="Arial"/>
                <w:color w:val="000000"/>
                <w:kern w:val="0"/>
                <w:sz w:val="20"/>
                <w:szCs w:val="20"/>
                <w:lang w:eastAsia="en-GB"/>
                <w14:ligatures w14:val="none"/>
              </w:rPr>
              <w:t>Traumatic mechanism, n (%)</w:t>
            </w:r>
          </w:p>
        </w:tc>
        <w:tc>
          <w:tcPr>
            <w:tcW w:w="1634" w:type="dxa"/>
            <w:tcBorders>
              <w:top w:val="nil"/>
              <w:left w:val="nil"/>
              <w:bottom w:val="nil"/>
              <w:right w:val="nil"/>
            </w:tcBorders>
            <w:noWrap/>
            <w:vAlign w:val="center"/>
            <w:hideMark/>
          </w:tcPr>
          <w:p w14:paraId="79D7F9F3" w14:textId="77777777" w:rsidR="009A1118" w:rsidRPr="009A1118" w:rsidRDefault="009A1118" w:rsidP="00504B2A">
            <w:pPr>
              <w:spacing w:after="0" w:line="240" w:lineRule="auto"/>
              <w:jc w:val="center"/>
              <w:rPr>
                <w:rFonts w:ascii="Arial" w:eastAsia="Times New Roman" w:hAnsi="Arial" w:cs="Arial"/>
                <w:color w:val="000000"/>
                <w:kern w:val="0"/>
                <w:sz w:val="20"/>
                <w:szCs w:val="20"/>
                <w:lang w:eastAsia="en-GB"/>
                <w14:ligatures w14:val="none"/>
              </w:rPr>
            </w:pPr>
            <w:r w:rsidRPr="009A1118">
              <w:rPr>
                <w:rFonts w:ascii="Arial" w:eastAsia="Times New Roman" w:hAnsi="Arial" w:cs="Arial"/>
                <w:color w:val="000000"/>
                <w:kern w:val="0"/>
                <w:sz w:val="20"/>
                <w:szCs w:val="20"/>
                <w:lang w:eastAsia="en-GB"/>
                <w14:ligatures w14:val="none"/>
              </w:rPr>
              <w:t>28 (62.2)</w:t>
            </w:r>
          </w:p>
        </w:tc>
        <w:tc>
          <w:tcPr>
            <w:tcW w:w="1600" w:type="dxa"/>
            <w:tcBorders>
              <w:top w:val="nil"/>
              <w:left w:val="nil"/>
              <w:bottom w:val="nil"/>
              <w:right w:val="nil"/>
            </w:tcBorders>
            <w:noWrap/>
            <w:vAlign w:val="center"/>
            <w:hideMark/>
          </w:tcPr>
          <w:p w14:paraId="6D9CCF84" w14:textId="77777777" w:rsidR="009A1118" w:rsidRPr="009A1118" w:rsidRDefault="009A1118" w:rsidP="00504B2A">
            <w:pPr>
              <w:spacing w:after="0" w:line="240" w:lineRule="auto"/>
              <w:jc w:val="center"/>
              <w:rPr>
                <w:rFonts w:ascii="Arial" w:eastAsia="Times New Roman" w:hAnsi="Arial" w:cs="Arial"/>
                <w:color w:val="000000"/>
                <w:kern w:val="0"/>
                <w:sz w:val="20"/>
                <w:szCs w:val="20"/>
                <w:lang w:eastAsia="en-GB"/>
                <w14:ligatures w14:val="none"/>
              </w:rPr>
            </w:pPr>
            <w:r w:rsidRPr="009A1118">
              <w:rPr>
                <w:rFonts w:ascii="Arial" w:eastAsia="Times New Roman" w:hAnsi="Arial" w:cs="Arial"/>
                <w:color w:val="000000"/>
                <w:kern w:val="0"/>
                <w:sz w:val="20"/>
                <w:szCs w:val="20"/>
                <w:lang w:eastAsia="en-GB"/>
                <w14:ligatures w14:val="none"/>
              </w:rPr>
              <w:t>12 (80.0)</w:t>
            </w:r>
          </w:p>
        </w:tc>
        <w:tc>
          <w:tcPr>
            <w:tcW w:w="960" w:type="dxa"/>
            <w:tcBorders>
              <w:top w:val="nil"/>
              <w:left w:val="nil"/>
              <w:bottom w:val="nil"/>
              <w:right w:val="nil"/>
            </w:tcBorders>
            <w:noWrap/>
            <w:vAlign w:val="center"/>
            <w:hideMark/>
          </w:tcPr>
          <w:p w14:paraId="33D1FF0E" w14:textId="77777777" w:rsidR="009A1118" w:rsidRPr="009A1118" w:rsidRDefault="009A1118" w:rsidP="00504B2A">
            <w:pPr>
              <w:spacing w:after="0" w:line="240" w:lineRule="auto"/>
              <w:jc w:val="center"/>
              <w:rPr>
                <w:rFonts w:ascii="Arial" w:eastAsia="Times New Roman" w:hAnsi="Arial" w:cs="Arial"/>
                <w:color w:val="000000"/>
                <w:kern w:val="0"/>
                <w:sz w:val="20"/>
                <w:szCs w:val="20"/>
                <w:lang w:eastAsia="en-GB"/>
                <w14:ligatures w14:val="none"/>
              </w:rPr>
            </w:pPr>
            <w:r w:rsidRPr="009A1118">
              <w:rPr>
                <w:rFonts w:ascii="Arial" w:eastAsia="Times New Roman" w:hAnsi="Arial" w:cs="Arial"/>
                <w:color w:val="000000"/>
                <w:kern w:val="0"/>
                <w:sz w:val="20"/>
                <w:szCs w:val="20"/>
                <w:lang w:eastAsia="en-GB"/>
                <w14:ligatures w14:val="none"/>
              </w:rPr>
              <w:t>0.206</w:t>
            </w:r>
          </w:p>
        </w:tc>
      </w:tr>
      <w:tr w:rsidR="009A1118" w:rsidRPr="009A1118" w14:paraId="7BCA5A29" w14:textId="77777777" w:rsidTr="00504B2A">
        <w:trPr>
          <w:trHeight w:val="60"/>
          <w:jc w:val="center"/>
        </w:trPr>
        <w:tc>
          <w:tcPr>
            <w:tcW w:w="3905" w:type="dxa"/>
            <w:tcBorders>
              <w:top w:val="nil"/>
              <w:left w:val="nil"/>
              <w:bottom w:val="nil"/>
              <w:right w:val="nil"/>
            </w:tcBorders>
            <w:noWrap/>
            <w:vAlign w:val="center"/>
            <w:hideMark/>
          </w:tcPr>
          <w:p w14:paraId="1D47A978" w14:textId="77777777" w:rsidR="009A1118" w:rsidRPr="009A1118" w:rsidRDefault="009A1118" w:rsidP="009A1118">
            <w:pPr>
              <w:spacing w:after="0" w:line="240" w:lineRule="auto"/>
              <w:rPr>
                <w:rFonts w:ascii="Arial" w:eastAsia="Times New Roman" w:hAnsi="Arial" w:cs="Arial"/>
                <w:color w:val="000000"/>
                <w:kern w:val="0"/>
                <w:sz w:val="20"/>
                <w:szCs w:val="20"/>
                <w:lang w:eastAsia="en-GB"/>
                <w14:ligatures w14:val="none"/>
              </w:rPr>
            </w:pPr>
            <w:r w:rsidRPr="009A1118">
              <w:rPr>
                <w:rFonts w:ascii="Arial" w:eastAsia="Times New Roman" w:hAnsi="Arial" w:cs="Arial"/>
                <w:color w:val="000000"/>
                <w:kern w:val="0"/>
                <w:sz w:val="20"/>
                <w:szCs w:val="20"/>
                <w:lang w:eastAsia="en-GB"/>
                <w14:ligatures w14:val="none"/>
              </w:rPr>
              <w:t>Forward elevation (°)</w:t>
            </w:r>
          </w:p>
        </w:tc>
        <w:tc>
          <w:tcPr>
            <w:tcW w:w="1634" w:type="dxa"/>
            <w:tcBorders>
              <w:top w:val="nil"/>
              <w:left w:val="nil"/>
              <w:bottom w:val="nil"/>
              <w:right w:val="nil"/>
            </w:tcBorders>
            <w:noWrap/>
            <w:vAlign w:val="center"/>
            <w:hideMark/>
          </w:tcPr>
          <w:p w14:paraId="613D17D0" w14:textId="77777777" w:rsidR="009A1118" w:rsidRPr="009A1118" w:rsidRDefault="009A1118" w:rsidP="00504B2A">
            <w:pPr>
              <w:spacing w:after="0" w:line="240" w:lineRule="auto"/>
              <w:jc w:val="center"/>
              <w:rPr>
                <w:rFonts w:ascii="Arial" w:eastAsia="Times New Roman" w:hAnsi="Arial" w:cs="Arial"/>
                <w:color w:val="000000"/>
                <w:kern w:val="0"/>
                <w:sz w:val="20"/>
                <w:szCs w:val="20"/>
                <w:lang w:eastAsia="en-GB"/>
                <w14:ligatures w14:val="none"/>
              </w:rPr>
            </w:pPr>
            <w:r w:rsidRPr="009A1118">
              <w:rPr>
                <w:rFonts w:ascii="Arial" w:eastAsia="Times New Roman" w:hAnsi="Arial" w:cs="Arial"/>
                <w:color w:val="000000"/>
                <w:kern w:val="0"/>
                <w:sz w:val="20"/>
                <w:szCs w:val="20"/>
                <w:lang w:eastAsia="en-GB"/>
                <w14:ligatures w14:val="none"/>
              </w:rPr>
              <w:t>99.3 ± 21.5</w:t>
            </w:r>
          </w:p>
        </w:tc>
        <w:tc>
          <w:tcPr>
            <w:tcW w:w="1600" w:type="dxa"/>
            <w:tcBorders>
              <w:top w:val="nil"/>
              <w:left w:val="nil"/>
              <w:bottom w:val="nil"/>
              <w:right w:val="nil"/>
            </w:tcBorders>
            <w:noWrap/>
            <w:vAlign w:val="center"/>
            <w:hideMark/>
          </w:tcPr>
          <w:p w14:paraId="7FC781BE" w14:textId="77777777" w:rsidR="009A1118" w:rsidRPr="009A1118" w:rsidRDefault="009A1118" w:rsidP="00504B2A">
            <w:pPr>
              <w:spacing w:after="0" w:line="240" w:lineRule="auto"/>
              <w:jc w:val="center"/>
              <w:rPr>
                <w:rFonts w:ascii="Arial" w:eastAsia="Times New Roman" w:hAnsi="Arial" w:cs="Arial"/>
                <w:color w:val="000000"/>
                <w:kern w:val="0"/>
                <w:sz w:val="20"/>
                <w:szCs w:val="20"/>
                <w:lang w:eastAsia="en-GB"/>
                <w14:ligatures w14:val="none"/>
              </w:rPr>
            </w:pPr>
            <w:r w:rsidRPr="009A1118">
              <w:rPr>
                <w:rFonts w:ascii="Arial" w:eastAsia="Times New Roman" w:hAnsi="Arial" w:cs="Arial"/>
                <w:color w:val="000000"/>
                <w:kern w:val="0"/>
                <w:sz w:val="20"/>
                <w:szCs w:val="20"/>
                <w:lang w:eastAsia="en-GB"/>
                <w14:ligatures w14:val="none"/>
              </w:rPr>
              <w:t>104 ± 16.4</w:t>
            </w:r>
          </w:p>
        </w:tc>
        <w:tc>
          <w:tcPr>
            <w:tcW w:w="960" w:type="dxa"/>
            <w:tcBorders>
              <w:top w:val="nil"/>
              <w:left w:val="nil"/>
              <w:bottom w:val="nil"/>
              <w:right w:val="nil"/>
            </w:tcBorders>
            <w:noWrap/>
            <w:vAlign w:val="center"/>
            <w:hideMark/>
          </w:tcPr>
          <w:p w14:paraId="23C9478B" w14:textId="77777777" w:rsidR="009A1118" w:rsidRPr="009A1118" w:rsidRDefault="009A1118" w:rsidP="00504B2A">
            <w:pPr>
              <w:spacing w:after="0" w:line="240" w:lineRule="auto"/>
              <w:jc w:val="center"/>
              <w:rPr>
                <w:rFonts w:ascii="Arial" w:eastAsia="Times New Roman" w:hAnsi="Arial" w:cs="Arial"/>
                <w:color w:val="000000"/>
                <w:kern w:val="0"/>
                <w:sz w:val="20"/>
                <w:szCs w:val="20"/>
                <w:lang w:eastAsia="en-GB"/>
                <w14:ligatures w14:val="none"/>
              </w:rPr>
            </w:pPr>
            <w:r w:rsidRPr="009A1118">
              <w:rPr>
                <w:rFonts w:ascii="Arial" w:eastAsia="Times New Roman" w:hAnsi="Arial" w:cs="Arial"/>
                <w:color w:val="000000"/>
                <w:kern w:val="0"/>
                <w:sz w:val="20"/>
                <w:szCs w:val="20"/>
                <w:lang w:eastAsia="en-GB"/>
                <w14:ligatures w14:val="none"/>
              </w:rPr>
              <w:t>0.445</w:t>
            </w:r>
          </w:p>
        </w:tc>
      </w:tr>
      <w:tr w:rsidR="009A1118" w:rsidRPr="009A1118" w14:paraId="57C958F2" w14:textId="77777777" w:rsidTr="00504B2A">
        <w:trPr>
          <w:trHeight w:val="60"/>
          <w:jc w:val="center"/>
        </w:trPr>
        <w:tc>
          <w:tcPr>
            <w:tcW w:w="3905" w:type="dxa"/>
            <w:tcBorders>
              <w:top w:val="nil"/>
              <w:left w:val="nil"/>
              <w:bottom w:val="single" w:sz="4" w:space="0" w:color="auto"/>
              <w:right w:val="nil"/>
            </w:tcBorders>
            <w:noWrap/>
            <w:vAlign w:val="center"/>
            <w:hideMark/>
          </w:tcPr>
          <w:p w14:paraId="1CF1DFB7" w14:textId="77777777" w:rsidR="009A1118" w:rsidRPr="009A1118" w:rsidRDefault="009A1118" w:rsidP="009A1118">
            <w:pPr>
              <w:spacing w:after="0" w:line="240" w:lineRule="auto"/>
              <w:rPr>
                <w:rFonts w:ascii="Arial" w:eastAsia="Times New Roman" w:hAnsi="Arial" w:cs="Arial"/>
                <w:color w:val="000000"/>
                <w:kern w:val="0"/>
                <w:sz w:val="20"/>
                <w:szCs w:val="20"/>
                <w:lang w:eastAsia="en-GB"/>
                <w14:ligatures w14:val="none"/>
              </w:rPr>
            </w:pPr>
            <w:r w:rsidRPr="009A1118">
              <w:rPr>
                <w:rFonts w:ascii="Arial" w:eastAsia="Times New Roman" w:hAnsi="Arial" w:cs="Arial"/>
                <w:color w:val="000000"/>
                <w:kern w:val="0"/>
                <w:sz w:val="20"/>
                <w:szCs w:val="20"/>
                <w:lang w:eastAsia="en-GB"/>
                <w14:ligatures w14:val="none"/>
              </w:rPr>
              <w:t>Jobe test positive, n (%)</w:t>
            </w:r>
          </w:p>
        </w:tc>
        <w:tc>
          <w:tcPr>
            <w:tcW w:w="1634" w:type="dxa"/>
            <w:tcBorders>
              <w:top w:val="nil"/>
              <w:left w:val="nil"/>
              <w:bottom w:val="single" w:sz="4" w:space="0" w:color="auto"/>
              <w:right w:val="nil"/>
            </w:tcBorders>
            <w:noWrap/>
            <w:vAlign w:val="center"/>
            <w:hideMark/>
          </w:tcPr>
          <w:p w14:paraId="06203D09" w14:textId="77777777" w:rsidR="009A1118" w:rsidRPr="009A1118" w:rsidRDefault="009A1118" w:rsidP="00504B2A">
            <w:pPr>
              <w:spacing w:after="0" w:line="240" w:lineRule="auto"/>
              <w:jc w:val="center"/>
              <w:rPr>
                <w:rFonts w:ascii="Arial" w:eastAsia="Times New Roman" w:hAnsi="Arial" w:cs="Arial"/>
                <w:color w:val="000000"/>
                <w:kern w:val="0"/>
                <w:sz w:val="20"/>
                <w:szCs w:val="20"/>
                <w:lang w:eastAsia="en-GB"/>
                <w14:ligatures w14:val="none"/>
              </w:rPr>
            </w:pPr>
            <w:r w:rsidRPr="009A1118">
              <w:rPr>
                <w:rFonts w:ascii="Arial" w:eastAsia="Times New Roman" w:hAnsi="Arial" w:cs="Arial"/>
                <w:color w:val="000000"/>
                <w:kern w:val="0"/>
                <w:sz w:val="20"/>
                <w:szCs w:val="20"/>
                <w:lang w:eastAsia="en-GB"/>
                <w14:ligatures w14:val="none"/>
              </w:rPr>
              <w:t>45 (100)</w:t>
            </w:r>
          </w:p>
        </w:tc>
        <w:tc>
          <w:tcPr>
            <w:tcW w:w="1600" w:type="dxa"/>
            <w:tcBorders>
              <w:top w:val="nil"/>
              <w:left w:val="nil"/>
              <w:bottom w:val="single" w:sz="4" w:space="0" w:color="auto"/>
              <w:right w:val="nil"/>
            </w:tcBorders>
            <w:noWrap/>
            <w:vAlign w:val="center"/>
            <w:hideMark/>
          </w:tcPr>
          <w:p w14:paraId="1DD235AC" w14:textId="77777777" w:rsidR="009A1118" w:rsidRPr="009A1118" w:rsidRDefault="009A1118" w:rsidP="00504B2A">
            <w:pPr>
              <w:spacing w:after="0" w:line="240" w:lineRule="auto"/>
              <w:jc w:val="center"/>
              <w:rPr>
                <w:rFonts w:ascii="Arial" w:eastAsia="Times New Roman" w:hAnsi="Arial" w:cs="Arial"/>
                <w:color w:val="000000"/>
                <w:kern w:val="0"/>
                <w:sz w:val="20"/>
                <w:szCs w:val="20"/>
                <w:lang w:eastAsia="en-GB"/>
                <w14:ligatures w14:val="none"/>
              </w:rPr>
            </w:pPr>
            <w:r w:rsidRPr="009A1118">
              <w:rPr>
                <w:rFonts w:ascii="Arial" w:eastAsia="Times New Roman" w:hAnsi="Arial" w:cs="Arial"/>
                <w:color w:val="000000"/>
                <w:kern w:val="0"/>
                <w:sz w:val="20"/>
                <w:szCs w:val="20"/>
                <w:lang w:eastAsia="en-GB"/>
                <w14:ligatures w14:val="none"/>
              </w:rPr>
              <w:t>15 (100)</w:t>
            </w:r>
          </w:p>
        </w:tc>
        <w:tc>
          <w:tcPr>
            <w:tcW w:w="960" w:type="dxa"/>
            <w:tcBorders>
              <w:top w:val="nil"/>
              <w:left w:val="nil"/>
              <w:bottom w:val="single" w:sz="4" w:space="0" w:color="auto"/>
              <w:right w:val="nil"/>
            </w:tcBorders>
            <w:noWrap/>
            <w:vAlign w:val="center"/>
            <w:hideMark/>
          </w:tcPr>
          <w:p w14:paraId="2461D231" w14:textId="77777777" w:rsidR="009A1118" w:rsidRPr="009A1118" w:rsidRDefault="009A1118" w:rsidP="00504B2A">
            <w:pPr>
              <w:spacing w:after="0" w:line="240" w:lineRule="auto"/>
              <w:jc w:val="center"/>
              <w:rPr>
                <w:rFonts w:ascii="Arial" w:eastAsia="Times New Roman" w:hAnsi="Arial" w:cs="Arial"/>
                <w:color w:val="000000"/>
                <w:kern w:val="0"/>
                <w:sz w:val="20"/>
                <w:szCs w:val="20"/>
                <w:lang w:eastAsia="en-GB"/>
                <w14:ligatures w14:val="none"/>
              </w:rPr>
            </w:pPr>
            <w:r w:rsidRPr="009A1118">
              <w:rPr>
                <w:rFonts w:ascii="Arial" w:eastAsia="Times New Roman" w:hAnsi="Arial" w:cs="Arial"/>
                <w:color w:val="000000"/>
                <w:kern w:val="0"/>
                <w:sz w:val="20"/>
                <w:szCs w:val="20"/>
                <w:lang w:eastAsia="en-GB"/>
                <w14:ligatures w14:val="none"/>
              </w:rPr>
              <w:t>–</w:t>
            </w:r>
          </w:p>
        </w:tc>
      </w:tr>
    </w:tbl>
    <w:p w14:paraId="09AB7688" w14:textId="64137E9F" w:rsidR="009612D0" w:rsidRPr="009612D0" w:rsidRDefault="009612D0" w:rsidP="009612D0">
      <w:pPr>
        <w:pStyle w:val="NormalWeb"/>
        <w:spacing w:before="0" w:beforeAutospacing="0" w:after="0" w:afterAutospacing="0"/>
        <w:jc w:val="center"/>
        <w:rPr>
          <w:rFonts w:ascii="Arial" w:hAnsi="Arial" w:cs="Arial"/>
          <w:i/>
          <w:iCs/>
          <w:sz w:val="20"/>
          <w:szCs w:val="20"/>
        </w:rPr>
      </w:pPr>
      <w:r>
        <w:rPr>
          <w:rFonts w:ascii="Arial" w:hAnsi="Arial" w:cs="Arial"/>
          <w:i/>
          <w:iCs/>
          <w:sz w:val="20"/>
          <w:szCs w:val="20"/>
        </w:rPr>
        <w:t>*</w:t>
      </w:r>
      <w:r w:rsidR="00094BE8" w:rsidRPr="009612D0">
        <w:rPr>
          <w:rFonts w:ascii="Arial" w:hAnsi="Arial" w:cs="Arial"/>
          <w:i/>
          <w:iCs/>
          <w:sz w:val="20"/>
          <w:szCs w:val="20"/>
        </w:rPr>
        <w:t>Independent t</w:t>
      </w:r>
      <w:r w:rsidR="00094BE8" w:rsidRPr="009612D0">
        <w:rPr>
          <w:rFonts w:ascii="Arial" w:hAnsi="Arial" w:cs="Arial"/>
          <w:i/>
          <w:iCs/>
          <w:sz w:val="20"/>
          <w:szCs w:val="20"/>
        </w:rPr>
        <w:noBreakHyphen/>
        <w:t>test; otherwise chi</w:t>
      </w:r>
      <w:r w:rsidR="00094BE8" w:rsidRPr="009612D0">
        <w:rPr>
          <w:rFonts w:ascii="Arial" w:hAnsi="Arial" w:cs="Arial"/>
          <w:i/>
          <w:iCs/>
          <w:sz w:val="20"/>
          <w:szCs w:val="20"/>
        </w:rPr>
        <w:noBreakHyphen/>
        <w:t>square or Fisher’s exact</w:t>
      </w:r>
    </w:p>
    <w:p w14:paraId="458395B8" w14:textId="77777777" w:rsidR="009612D0" w:rsidRDefault="009612D0" w:rsidP="00504B2A">
      <w:pPr>
        <w:pStyle w:val="NormalWeb"/>
        <w:spacing w:before="0" w:beforeAutospacing="0" w:after="0" w:afterAutospacing="0"/>
        <w:jc w:val="both"/>
        <w:rPr>
          <w:rFonts w:ascii="Arial" w:hAnsi="Arial" w:cs="Arial"/>
          <w:sz w:val="20"/>
          <w:szCs w:val="20"/>
        </w:rPr>
      </w:pPr>
    </w:p>
    <w:p w14:paraId="5EDDEE68" w14:textId="77777777" w:rsidR="00C7093F" w:rsidRDefault="00C7093F" w:rsidP="009612D0">
      <w:pPr>
        <w:pStyle w:val="NormalWeb"/>
        <w:spacing w:before="0" w:beforeAutospacing="0" w:after="0" w:afterAutospacing="0"/>
        <w:jc w:val="both"/>
        <w:rPr>
          <w:rFonts w:ascii="Arial" w:hAnsi="Arial" w:cs="Arial"/>
          <w:sz w:val="20"/>
          <w:szCs w:val="20"/>
        </w:rPr>
        <w:sectPr w:rsidR="00C7093F" w:rsidSect="00C7093F">
          <w:type w:val="continuous"/>
          <w:pgSz w:w="11906" w:h="16838"/>
          <w:pgMar w:top="1440" w:right="1440" w:bottom="1440" w:left="1440" w:header="720" w:footer="720" w:gutter="0"/>
          <w:cols w:space="720"/>
          <w:titlePg/>
          <w:docGrid w:linePitch="360"/>
        </w:sectPr>
      </w:pPr>
    </w:p>
    <w:p w14:paraId="4254E2C5" w14:textId="258C126C" w:rsidR="00094BE8" w:rsidRDefault="00094BE8" w:rsidP="009612D0">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Patients in the retear group were significantly older (64.7 vs 58.8 years, p = 0.012). Sex, symptom duration, and range of motion did not differ significantly.</w:t>
      </w:r>
    </w:p>
    <w:p w14:paraId="6410DA40" w14:textId="77777777" w:rsidR="009612D0" w:rsidRPr="00094BE8" w:rsidRDefault="009612D0" w:rsidP="009612D0">
      <w:pPr>
        <w:pStyle w:val="NormalWeb"/>
        <w:spacing w:before="0" w:beforeAutospacing="0" w:after="0" w:afterAutospacing="0"/>
        <w:jc w:val="both"/>
        <w:rPr>
          <w:rFonts w:ascii="Arial" w:hAnsi="Arial" w:cs="Arial"/>
          <w:sz w:val="20"/>
          <w:szCs w:val="20"/>
        </w:rPr>
      </w:pPr>
    </w:p>
    <w:p w14:paraId="432A1BF9" w14:textId="77777777" w:rsidR="009612D0" w:rsidRPr="009612D0" w:rsidRDefault="00094BE8" w:rsidP="00094BE8">
      <w:pPr>
        <w:pStyle w:val="NormalWeb"/>
        <w:spacing w:before="0" w:beforeAutospacing="0" w:after="0" w:afterAutospacing="0"/>
        <w:jc w:val="both"/>
        <w:rPr>
          <w:rFonts w:ascii="Arial" w:hAnsi="Arial" w:cs="Arial"/>
          <w:i/>
          <w:iCs/>
          <w:sz w:val="20"/>
          <w:szCs w:val="20"/>
        </w:rPr>
      </w:pPr>
      <w:r w:rsidRPr="009612D0">
        <w:rPr>
          <w:rFonts w:ascii="Arial" w:hAnsi="Arial" w:cs="Arial"/>
          <w:i/>
          <w:iCs/>
          <w:sz w:val="20"/>
          <w:szCs w:val="20"/>
        </w:rPr>
        <w:t>Preoperative MRI findings</w:t>
      </w:r>
    </w:p>
    <w:p w14:paraId="4D8C82EC" w14:textId="73634A66" w:rsid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 xml:space="preserve">Table 2 summarises preoperative MRI variables. Infraspinatus fatty infiltration grade 2 was much more common in the retear group (86.7% vs 31.1%, p = 0.001). The supraspinatus occupation ratio was significantly lower in the retear group </w:t>
      </w:r>
      <w:r w:rsidRPr="00094BE8">
        <w:rPr>
          <w:rFonts w:ascii="Arial" w:hAnsi="Arial" w:cs="Arial"/>
          <w:sz w:val="20"/>
          <w:szCs w:val="20"/>
        </w:rPr>
        <w:t xml:space="preserve">(45.3% ± 3.1% vs 60.2% ± 7.7%, p &lt; 0.0001), as was the infraspinatus occupation ratio (54.4% ± 6.3% vs 69.1% ± 7.1%, p &lt; 0.0001). Acromiohumeral distance was smaller (4.3 ± 0.9 vs 5.2 ± 1.2 mm, p = 0.008), and </w:t>
      </w:r>
      <w:proofErr w:type="spellStart"/>
      <w:r w:rsidRPr="00094BE8">
        <w:rPr>
          <w:rFonts w:ascii="Arial" w:hAnsi="Arial" w:cs="Arial"/>
          <w:sz w:val="20"/>
          <w:szCs w:val="20"/>
        </w:rPr>
        <w:t>inferoglenohumeral</w:t>
      </w:r>
      <w:proofErr w:type="spellEnd"/>
      <w:r w:rsidRPr="00094BE8">
        <w:rPr>
          <w:rFonts w:ascii="Arial" w:hAnsi="Arial" w:cs="Arial"/>
          <w:sz w:val="20"/>
          <w:szCs w:val="20"/>
        </w:rPr>
        <w:t xml:space="preserve"> distance was larger (8.8 ± 0.4 vs 6.4 ± 1.3 mm, p &lt; 0.0001) in the retear group. Other parameters (Hamada classification, Patte stage, tear dimensions, supraspinatus fatty infiltration, tangent sign, acromial morphology) did not differ significantly.</w:t>
      </w:r>
    </w:p>
    <w:p w14:paraId="03100578" w14:textId="77777777" w:rsidR="00C7093F" w:rsidRDefault="00C7093F" w:rsidP="00094BE8">
      <w:pPr>
        <w:pStyle w:val="NormalWeb"/>
        <w:spacing w:before="0" w:beforeAutospacing="0" w:after="0" w:afterAutospacing="0"/>
        <w:jc w:val="both"/>
        <w:rPr>
          <w:rFonts w:ascii="Arial" w:hAnsi="Arial" w:cs="Arial"/>
          <w:sz w:val="20"/>
          <w:szCs w:val="20"/>
        </w:rPr>
        <w:sectPr w:rsidR="00C7093F" w:rsidSect="00C7093F">
          <w:type w:val="continuous"/>
          <w:pgSz w:w="11906" w:h="16838"/>
          <w:pgMar w:top="1440" w:right="1440" w:bottom="1440" w:left="1440" w:header="720" w:footer="720" w:gutter="0"/>
          <w:cols w:num="2" w:space="432"/>
          <w:titlePg/>
          <w:docGrid w:linePitch="360"/>
        </w:sectPr>
      </w:pPr>
    </w:p>
    <w:p w14:paraId="362943A5" w14:textId="77777777" w:rsidR="00A81C34" w:rsidRPr="00094BE8" w:rsidRDefault="00A81C34" w:rsidP="00094BE8">
      <w:pPr>
        <w:pStyle w:val="NormalWeb"/>
        <w:spacing w:before="0" w:beforeAutospacing="0" w:after="0" w:afterAutospacing="0"/>
        <w:jc w:val="both"/>
        <w:rPr>
          <w:rFonts w:ascii="Arial" w:hAnsi="Arial" w:cs="Arial"/>
          <w:sz w:val="20"/>
          <w:szCs w:val="20"/>
        </w:rPr>
      </w:pPr>
    </w:p>
    <w:p w14:paraId="22876C08" w14:textId="0315C823" w:rsidR="00094BE8" w:rsidRPr="00A81C34" w:rsidRDefault="00094BE8" w:rsidP="00A81C34">
      <w:pPr>
        <w:pStyle w:val="NormalWeb"/>
        <w:spacing w:before="0" w:beforeAutospacing="0" w:after="0" w:afterAutospacing="0"/>
        <w:jc w:val="center"/>
        <w:rPr>
          <w:rFonts w:ascii="Arial" w:hAnsi="Arial" w:cs="Arial"/>
          <w:b/>
          <w:bCs/>
          <w:sz w:val="20"/>
          <w:szCs w:val="20"/>
        </w:rPr>
      </w:pPr>
      <w:r w:rsidRPr="00A81C34">
        <w:rPr>
          <w:rFonts w:ascii="Arial" w:hAnsi="Arial" w:cs="Arial"/>
          <w:b/>
          <w:bCs/>
          <w:sz w:val="20"/>
          <w:szCs w:val="20"/>
        </w:rPr>
        <w:t>Table 2</w:t>
      </w:r>
      <w:r w:rsidR="00A81C34">
        <w:rPr>
          <w:rFonts w:ascii="Arial" w:hAnsi="Arial" w:cs="Arial"/>
          <w:b/>
          <w:bCs/>
          <w:sz w:val="20"/>
          <w:szCs w:val="20"/>
        </w:rPr>
        <w:t>:</w:t>
      </w:r>
      <w:r w:rsidRPr="00A81C34">
        <w:rPr>
          <w:rFonts w:ascii="Arial" w:hAnsi="Arial" w:cs="Arial"/>
          <w:b/>
          <w:bCs/>
          <w:sz w:val="20"/>
          <w:szCs w:val="20"/>
        </w:rPr>
        <w:t xml:space="preserve"> Preoperative MRI characteristics</w:t>
      </w:r>
    </w:p>
    <w:tbl>
      <w:tblPr>
        <w:tblW w:w="8808" w:type="dxa"/>
        <w:jc w:val="center"/>
        <w:tblLook w:val="04A0" w:firstRow="1" w:lastRow="0" w:firstColumn="1" w:lastColumn="0" w:noHBand="0" w:noVBand="1"/>
      </w:tblPr>
      <w:tblGrid>
        <w:gridCol w:w="4551"/>
        <w:gridCol w:w="1634"/>
        <w:gridCol w:w="1600"/>
        <w:gridCol w:w="1023"/>
      </w:tblGrid>
      <w:tr w:rsidR="00900D66" w:rsidRPr="00900D66" w14:paraId="60421827" w14:textId="77777777" w:rsidTr="00504B2A">
        <w:trPr>
          <w:trHeight w:val="50"/>
          <w:jc w:val="center"/>
        </w:trPr>
        <w:tc>
          <w:tcPr>
            <w:tcW w:w="4551" w:type="dxa"/>
            <w:tcBorders>
              <w:top w:val="single" w:sz="4" w:space="0" w:color="auto"/>
              <w:left w:val="nil"/>
              <w:bottom w:val="single" w:sz="4" w:space="0" w:color="auto"/>
              <w:right w:val="nil"/>
            </w:tcBorders>
            <w:noWrap/>
            <w:vAlign w:val="center"/>
            <w:hideMark/>
          </w:tcPr>
          <w:p w14:paraId="32FC9EA3" w14:textId="77777777" w:rsidR="00900D66" w:rsidRPr="00900D66" w:rsidRDefault="00900D66" w:rsidP="00900D66">
            <w:pPr>
              <w:spacing w:after="0" w:line="240" w:lineRule="auto"/>
              <w:jc w:val="center"/>
              <w:rPr>
                <w:rFonts w:ascii="Arial" w:eastAsia="Times New Roman" w:hAnsi="Arial" w:cs="Arial"/>
                <w:b/>
                <w:bCs/>
                <w:color w:val="000000"/>
                <w:kern w:val="0"/>
                <w:sz w:val="20"/>
                <w:szCs w:val="20"/>
                <w:lang w:eastAsia="en-GB"/>
                <w14:ligatures w14:val="none"/>
              </w:rPr>
            </w:pPr>
            <w:r w:rsidRPr="00900D66">
              <w:rPr>
                <w:rFonts w:ascii="Arial" w:eastAsia="Times New Roman" w:hAnsi="Arial" w:cs="Arial"/>
                <w:b/>
                <w:bCs/>
                <w:color w:val="000000"/>
                <w:kern w:val="0"/>
                <w:sz w:val="20"/>
                <w:szCs w:val="20"/>
                <w:lang w:eastAsia="en-GB"/>
                <w14:ligatures w14:val="none"/>
              </w:rPr>
              <w:t>Variable</w:t>
            </w:r>
          </w:p>
        </w:tc>
        <w:tc>
          <w:tcPr>
            <w:tcW w:w="1634" w:type="dxa"/>
            <w:tcBorders>
              <w:top w:val="single" w:sz="4" w:space="0" w:color="auto"/>
              <w:left w:val="nil"/>
              <w:bottom w:val="single" w:sz="4" w:space="0" w:color="auto"/>
              <w:right w:val="nil"/>
            </w:tcBorders>
            <w:noWrap/>
            <w:vAlign w:val="center"/>
            <w:hideMark/>
          </w:tcPr>
          <w:p w14:paraId="205E9993" w14:textId="77777777" w:rsidR="00900D66" w:rsidRPr="00900D66" w:rsidRDefault="00900D66" w:rsidP="00900D66">
            <w:pPr>
              <w:spacing w:after="0" w:line="240" w:lineRule="auto"/>
              <w:jc w:val="center"/>
              <w:rPr>
                <w:rFonts w:ascii="Arial" w:eastAsia="Times New Roman" w:hAnsi="Arial" w:cs="Arial"/>
                <w:b/>
                <w:bCs/>
                <w:color w:val="000000"/>
                <w:kern w:val="0"/>
                <w:sz w:val="20"/>
                <w:szCs w:val="20"/>
                <w:lang w:eastAsia="en-GB"/>
                <w14:ligatures w14:val="none"/>
              </w:rPr>
            </w:pPr>
            <w:r w:rsidRPr="00900D66">
              <w:rPr>
                <w:rFonts w:ascii="Arial" w:eastAsia="Times New Roman" w:hAnsi="Arial" w:cs="Arial"/>
                <w:b/>
                <w:bCs/>
                <w:color w:val="000000"/>
                <w:kern w:val="0"/>
                <w:sz w:val="20"/>
                <w:szCs w:val="20"/>
                <w:lang w:eastAsia="en-GB"/>
                <w14:ligatures w14:val="none"/>
              </w:rPr>
              <w:t>Healed (n=45)</w:t>
            </w:r>
          </w:p>
        </w:tc>
        <w:tc>
          <w:tcPr>
            <w:tcW w:w="1600" w:type="dxa"/>
            <w:tcBorders>
              <w:top w:val="single" w:sz="4" w:space="0" w:color="auto"/>
              <w:left w:val="nil"/>
              <w:bottom w:val="single" w:sz="4" w:space="0" w:color="auto"/>
              <w:right w:val="nil"/>
            </w:tcBorders>
            <w:noWrap/>
            <w:vAlign w:val="center"/>
            <w:hideMark/>
          </w:tcPr>
          <w:p w14:paraId="68366561" w14:textId="77777777" w:rsidR="00900D66" w:rsidRPr="00900D66" w:rsidRDefault="00900D66" w:rsidP="00900D66">
            <w:pPr>
              <w:spacing w:after="0" w:line="240" w:lineRule="auto"/>
              <w:jc w:val="center"/>
              <w:rPr>
                <w:rFonts w:ascii="Arial" w:eastAsia="Times New Roman" w:hAnsi="Arial" w:cs="Arial"/>
                <w:b/>
                <w:bCs/>
                <w:color w:val="000000"/>
                <w:kern w:val="0"/>
                <w:sz w:val="20"/>
                <w:szCs w:val="20"/>
                <w:lang w:eastAsia="en-GB"/>
                <w14:ligatures w14:val="none"/>
              </w:rPr>
            </w:pPr>
            <w:r w:rsidRPr="00900D66">
              <w:rPr>
                <w:rFonts w:ascii="Arial" w:eastAsia="Times New Roman" w:hAnsi="Arial" w:cs="Arial"/>
                <w:b/>
                <w:bCs/>
                <w:color w:val="000000"/>
                <w:kern w:val="0"/>
                <w:sz w:val="20"/>
                <w:szCs w:val="20"/>
                <w:lang w:eastAsia="en-GB"/>
                <w14:ligatures w14:val="none"/>
              </w:rPr>
              <w:t>Retear (n=15)</w:t>
            </w:r>
          </w:p>
        </w:tc>
        <w:tc>
          <w:tcPr>
            <w:tcW w:w="1023" w:type="dxa"/>
            <w:tcBorders>
              <w:top w:val="single" w:sz="4" w:space="0" w:color="auto"/>
              <w:left w:val="nil"/>
              <w:bottom w:val="single" w:sz="4" w:space="0" w:color="auto"/>
              <w:right w:val="nil"/>
            </w:tcBorders>
            <w:noWrap/>
            <w:vAlign w:val="center"/>
            <w:hideMark/>
          </w:tcPr>
          <w:p w14:paraId="09DC374C" w14:textId="77777777" w:rsidR="00900D66" w:rsidRPr="00900D66" w:rsidRDefault="00900D66" w:rsidP="00900D66">
            <w:pPr>
              <w:spacing w:after="0" w:line="240" w:lineRule="auto"/>
              <w:jc w:val="center"/>
              <w:rPr>
                <w:rFonts w:ascii="Arial" w:eastAsia="Times New Roman" w:hAnsi="Arial" w:cs="Arial"/>
                <w:b/>
                <w:bCs/>
                <w:color w:val="000000"/>
                <w:kern w:val="0"/>
                <w:sz w:val="20"/>
                <w:szCs w:val="20"/>
                <w:lang w:eastAsia="en-GB"/>
                <w14:ligatures w14:val="none"/>
              </w:rPr>
            </w:pPr>
            <w:r w:rsidRPr="00900D66">
              <w:rPr>
                <w:rFonts w:ascii="Arial" w:eastAsia="Times New Roman" w:hAnsi="Arial" w:cs="Arial"/>
                <w:b/>
                <w:bCs/>
                <w:color w:val="000000"/>
                <w:kern w:val="0"/>
                <w:sz w:val="20"/>
                <w:szCs w:val="20"/>
                <w:lang w:eastAsia="en-GB"/>
                <w14:ligatures w14:val="none"/>
              </w:rPr>
              <w:t>p value</w:t>
            </w:r>
          </w:p>
        </w:tc>
      </w:tr>
      <w:tr w:rsidR="00900D66" w:rsidRPr="00900D66" w14:paraId="491E1DCC" w14:textId="77777777" w:rsidTr="00504B2A">
        <w:trPr>
          <w:trHeight w:val="50"/>
          <w:jc w:val="center"/>
        </w:trPr>
        <w:tc>
          <w:tcPr>
            <w:tcW w:w="4551" w:type="dxa"/>
            <w:tcBorders>
              <w:top w:val="nil"/>
              <w:left w:val="nil"/>
              <w:bottom w:val="nil"/>
              <w:right w:val="nil"/>
            </w:tcBorders>
            <w:noWrap/>
            <w:vAlign w:val="center"/>
            <w:hideMark/>
          </w:tcPr>
          <w:p w14:paraId="62A57D30" w14:textId="77777777" w:rsidR="00900D66" w:rsidRPr="00900D66" w:rsidRDefault="00900D66" w:rsidP="00900D66">
            <w:pPr>
              <w:spacing w:after="0" w:line="240" w:lineRule="auto"/>
              <w:rPr>
                <w:rFonts w:ascii="Arial" w:eastAsia="Times New Roman" w:hAnsi="Arial" w:cs="Arial"/>
                <w:color w:val="000000"/>
                <w:kern w:val="0"/>
                <w:sz w:val="20"/>
                <w:szCs w:val="20"/>
                <w:lang w:eastAsia="en-GB"/>
                <w14:ligatures w14:val="none"/>
              </w:rPr>
            </w:pPr>
            <w:r w:rsidRPr="00900D66">
              <w:rPr>
                <w:rFonts w:ascii="Arial" w:eastAsia="Times New Roman" w:hAnsi="Arial" w:cs="Arial"/>
                <w:color w:val="000000"/>
                <w:kern w:val="0"/>
                <w:sz w:val="20"/>
                <w:szCs w:val="20"/>
                <w:lang w:eastAsia="en-GB"/>
                <w14:ligatures w14:val="none"/>
              </w:rPr>
              <w:t>Supraspinatus occupation ratio (%), mean ± SD</w:t>
            </w:r>
          </w:p>
        </w:tc>
        <w:tc>
          <w:tcPr>
            <w:tcW w:w="1634" w:type="dxa"/>
            <w:tcBorders>
              <w:top w:val="nil"/>
              <w:left w:val="nil"/>
              <w:bottom w:val="nil"/>
              <w:right w:val="nil"/>
            </w:tcBorders>
            <w:noWrap/>
            <w:vAlign w:val="center"/>
            <w:hideMark/>
          </w:tcPr>
          <w:p w14:paraId="01C07F4C" w14:textId="77777777" w:rsidR="00900D66" w:rsidRPr="00900D66" w:rsidRDefault="00900D66" w:rsidP="00504B2A">
            <w:pPr>
              <w:spacing w:after="0" w:line="240" w:lineRule="auto"/>
              <w:jc w:val="center"/>
              <w:rPr>
                <w:rFonts w:ascii="Arial" w:eastAsia="Times New Roman" w:hAnsi="Arial" w:cs="Arial"/>
                <w:color w:val="000000"/>
                <w:kern w:val="0"/>
                <w:sz w:val="20"/>
                <w:szCs w:val="20"/>
                <w:lang w:eastAsia="en-GB"/>
                <w14:ligatures w14:val="none"/>
              </w:rPr>
            </w:pPr>
            <w:r w:rsidRPr="00900D66">
              <w:rPr>
                <w:rFonts w:ascii="Arial" w:eastAsia="Times New Roman" w:hAnsi="Arial" w:cs="Arial"/>
                <w:color w:val="000000"/>
                <w:kern w:val="0"/>
                <w:sz w:val="20"/>
                <w:szCs w:val="20"/>
                <w:lang w:eastAsia="en-GB"/>
                <w14:ligatures w14:val="none"/>
              </w:rPr>
              <w:t>60.2 ± 7.7</w:t>
            </w:r>
          </w:p>
        </w:tc>
        <w:tc>
          <w:tcPr>
            <w:tcW w:w="1600" w:type="dxa"/>
            <w:tcBorders>
              <w:top w:val="nil"/>
              <w:left w:val="nil"/>
              <w:bottom w:val="nil"/>
              <w:right w:val="nil"/>
            </w:tcBorders>
            <w:noWrap/>
            <w:vAlign w:val="center"/>
            <w:hideMark/>
          </w:tcPr>
          <w:p w14:paraId="50E02674" w14:textId="77777777" w:rsidR="00900D66" w:rsidRPr="00900D66" w:rsidRDefault="00900D66" w:rsidP="00504B2A">
            <w:pPr>
              <w:spacing w:after="0" w:line="240" w:lineRule="auto"/>
              <w:jc w:val="center"/>
              <w:rPr>
                <w:rFonts w:ascii="Arial" w:eastAsia="Times New Roman" w:hAnsi="Arial" w:cs="Arial"/>
                <w:color w:val="000000"/>
                <w:kern w:val="0"/>
                <w:sz w:val="20"/>
                <w:szCs w:val="20"/>
                <w:lang w:eastAsia="en-GB"/>
                <w14:ligatures w14:val="none"/>
              </w:rPr>
            </w:pPr>
            <w:r w:rsidRPr="00900D66">
              <w:rPr>
                <w:rFonts w:ascii="Arial" w:eastAsia="Times New Roman" w:hAnsi="Arial" w:cs="Arial"/>
                <w:color w:val="000000"/>
                <w:kern w:val="0"/>
                <w:sz w:val="20"/>
                <w:szCs w:val="20"/>
                <w:lang w:eastAsia="en-GB"/>
                <w14:ligatures w14:val="none"/>
              </w:rPr>
              <w:t>45.3 ± 3.1</w:t>
            </w:r>
          </w:p>
        </w:tc>
        <w:tc>
          <w:tcPr>
            <w:tcW w:w="1023" w:type="dxa"/>
            <w:tcBorders>
              <w:top w:val="nil"/>
              <w:left w:val="nil"/>
              <w:bottom w:val="nil"/>
              <w:right w:val="nil"/>
            </w:tcBorders>
            <w:noWrap/>
            <w:vAlign w:val="center"/>
            <w:hideMark/>
          </w:tcPr>
          <w:p w14:paraId="4230118D" w14:textId="77777777" w:rsidR="00900D66" w:rsidRPr="00900D66" w:rsidRDefault="00900D66" w:rsidP="00504B2A">
            <w:pPr>
              <w:spacing w:after="0" w:line="240" w:lineRule="auto"/>
              <w:jc w:val="center"/>
              <w:rPr>
                <w:rFonts w:ascii="Arial" w:eastAsia="Times New Roman" w:hAnsi="Arial" w:cs="Arial"/>
                <w:color w:val="000000"/>
                <w:kern w:val="0"/>
                <w:sz w:val="20"/>
                <w:szCs w:val="20"/>
                <w:lang w:eastAsia="en-GB"/>
                <w14:ligatures w14:val="none"/>
              </w:rPr>
            </w:pPr>
            <w:r w:rsidRPr="00900D66">
              <w:rPr>
                <w:rFonts w:ascii="Arial" w:eastAsia="Times New Roman" w:hAnsi="Arial" w:cs="Arial"/>
                <w:color w:val="000000"/>
                <w:kern w:val="0"/>
                <w:sz w:val="20"/>
                <w:szCs w:val="20"/>
                <w:lang w:eastAsia="en-GB"/>
                <w14:ligatures w14:val="none"/>
              </w:rPr>
              <w:t>&lt;0.0001*</w:t>
            </w:r>
          </w:p>
        </w:tc>
      </w:tr>
      <w:tr w:rsidR="00900D66" w:rsidRPr="00900D66" w14:paraId="3FD8FDA3" w14:textId="77777777" w:rsidTr="00504B2A">
        <w:trPr>
          <w:trHeight w:val="60"/>
          <w:jc w:val="center"/>
        </w:trPr>
        <w:tc>
          <w:tcPr>
            <w:tcW w:w="4551" w:type="dxa"/>
            <w:tcBorders>
              <w:top w:val="nil"/>
              <w:left w:val="nil"/>
              <w:bottom w:val="nil"/>
              <w:right w:val="nil"/>
            </w:tcBorders>
            <w:noWrap/>
            <w:vAlign w:val="center"/>
            <w:hideMark/>
          </w:tcPr>
          <w:p w14:paraId="2369F134" w14:textId="77777777" w:rsidR="00900D66" w:rsidRPr="00900D66" w:rsidRDefault="00900D66" w:rsidP="00900D66">
            <w:pPr>
              <w:spacing w:after="0" w:line="240" w:lineRule="auto"/>
              <w:rPr>
                <w:rFonts w:ascii="Arial" w:eastAsia="Times New Roman" w:hAnsi="Arial" w:cs="Arial"/>
                <w:color w:val="000000"/>
                <w:kern w:val="0"/>
                <w:sz w:val="20"/>
                <w:szCs w:val="20"/>
                <w:lang w:eastAsia="en-GB"/>
                <w14:ligatures w14:val="none"/>
              </w:rPr>
            </w:pPr>
            <w:r w:rsidRPr="00900D66">
              <w:rPr>
                <w:rFonts w:ascii="Arial" w:eastAsia="Times New Roman" w:hAnsi="Arial" w:cs="Arial"/>
                <w:color w:val="000000"/>
                <w:kern w:val="0"/>
                <w:sz w:val="20"/>
                <w:szCs w:val="20"/>
                <w:lang w:eastAsia="en-GB"/>
                <w14:ligatures w14:val="none"/>
              </w:rPr>
              <w:t>Infraspinatus occupation ratio (%), mean ± SD</w:t>
            </w:r>
          </w:p>
        </w:tc>
        <w:tc>
          <w:tcPr>
            <w:tcW w:w="1634" w:type="dxa"/>
            <w:tcBorders>
              <w:top w:val="nil"/>
              <w:left w:val="nil"/>
              <w:bottom w:val="nil"/>
              <w:right w:val="nil"/>
            </w:tcBorders>
            <w:noWrap/>
            <w:vAlign w:val="center"/>
            <w:hideMark/>
          </w:tcPr>
          <w:p w14:paraId="3257266B" w14:textId="77777777" w:rsidR="00900D66" w:rsidRPr="00900D66" w:rsidRDefault="00900D66" w:rsidP="00504B2A">
            <w:pPr>
              <w:spacing w:after="0" w:line="240" w:lineRule="auto"/>
              <w:jc w:val="center"/>
              <w:rPr>
                <w:rFonts w:ascii="Arial" w:eastAsia="Times New Roman" w:hAnsi="Arial" w:cs="Arial"/>
                <w:color w:val="000000"/>
                <w:kern w:val="0"/>
                <w:sz w:val="20"/>
                <w:szCs w:val="20"/>
                <w:lang w:eastAsia="en-GB"/>
                <w14:ligatures w14:val="none"/>
              </w:rPr>
            </w:pPr>
            <w:r w:rsidRPr="00900D66">
              <w:rPr>
                <w:rFonts w:ascii="Arial" w:eastAsia="Times New Roman" w:hAnsi="Arial" w:cs="Arial"/>
                <w:color w:val="000000"/>
                <w:kern w:val="0"/>
                <w:sz w:val="20"/>
                <w:szCs w:val="20"/>
                <w:lang w:eastAsia="en-GB"/>
                <w14:ligatures w14:val="none"/>
              </w:rPr>
              <w:t>69.1 ± 7.1</w:t>
            </w:r>
          </w:p>
        </w:tc>
        <w:tc>
          <w:tcPr>
            <w:tcW w:w="1600" w:type="dxa"/>
            <w:tcBorders>
              <w:top w:val="nil"/>
              <w:left w:val="nil"/>
              <w:bottom w:val="nil"/>
              <w:right w:val="nil"/>
            </w:tcBorders>
            <w:noWrap/>
            <w:vAlign w:val="center"/>
            <w:hideMark/>
          </w:tcPr>
          <w:p w14:paraId="54699822" w14:textId="77777777" w:rsidR="00900D66" w:rsidRPr="00900D66" w:rsidRDefault="00900D66" w:rsidP="00504B2A">
            <w:pPr>
              <w:spacing w:after="0" w:line="240" w:lineRule="auto"/>
              <w:jc w:val="center"/>
              <w:rPr>
                <w:rFonts w:ascii="Arial" w:eastAsia="Times New Roman" w:hAnsi="Arial" w:cs="Arial"/>
                <w:color w:val="000000"/>
                <w:kern w:val="0"/>
                <w:sz w:val="20"/>
                <w:szCs w:val="20"/>
                <w:lang w:eastAsia="en-GB"/>
                <w14:ligatures w14:val="none"/>
              </w:rPr>
            </w:pPr>
            <w:r w:rsidRPr="00900D66">
              <w:rPr>
                <w:rFonts w:ascii="Arial" w:eastAsia="Times New Roman" w:hAnsi="Arial" w:cs="Arial"/>
                <w:color w:val="000000"/>
                <w:kern w:val="0"/>
                <w:sz w:val="20"/>
                <w:szCs w:val="20"/>
                <w:lang w:eastAsia="en-GB"/>
                <w14:ligatures w14:val="none"/>
              </w:rPr>
              <w:t>54.4 ± 6.3</w:t>
            </w:r>
          </w:p>
        </w:tc>
        <w:tc>
          <w:tcPr>
            <w:tcW w:w="1023" w:type="dxa"/>
            <w:tcBorders>
              <w:top w:val="nil"/>
              <w:left w:val="nil"/>
              <w:bottom w:val="nil"/>
              <w:right w:val="nil"/>
            </w:tcBorders>
            <w:noWrap/>
            <w:vAlign w:val="center"/>
            <w:hideMark/>
          </w:tcPr>
          <w:p w14:paraId="71FE3235" w14:textId="77777777" w:rsidR="00900D66" w:rsidRPr="00900D66" w:rsidRDefault="00900D66" w:rsidP="00504B2A">
            <w:pPr>
              <w:spacing w:after="0" w:line="240" w:lineRule="auto"/>
              <w:jc w:val="center"/>
              <w:rPr>
                <w:rFonts w:ascii="Arial" w:eastAsia="Times New Roman" w:hAnsi="Arial" w:cs="Arial"/>
                <w:color w:val="000000"/>
                <w:kern w:val="0"/>
                <w:sz w:val="20"/>
                <w:szCs w:val="20"/>
                <w:lang w:eastAsia="en-GB"/>
                <w14:ligatures w14:val="none"/>
              </w:rPr>
            </w:pPr>
            <w:r w:rsidRPr="00900D66">
              <w:rPr>
                <w:rFonts w:ascii="Arial" w:eastAsia="Times New Roman" w:hAnsi="Arial" w:cs="Arial"/>
                <w:color w:val="000000"/>
                <w:kern w:val="0"/>
                <w:sz w:val="20"/>
                <w:szCs w:val="20"/>
                <w:lang w:eastAsia="en-GB"/>
                <w14:ligatures w14:val="none"/>
              </w:rPr>
              <w:t>&lt;0.0001*</w:t>
            </w:r>
          </w:p>
        </w:tc>
      </w:tr>
      <w:tr w:rsidR="00900D66" w:rsidRPr="00900D66" w14:paraId="43219739" w14:textId="77777777" w:rsidTr="00504B2A">
        <w:trPr>
          <w:trHeight w:val="60"/>
          <w:jc w:val="center"/>
        </w:trPr>
        <w:tc>
          <w:tcPr>
            <w:tcW w:w="4551" w:type="dxa"/>
            <w:tcBorders>
              <w:top w:val="nil"/>
              <w:left w:val="nil"/>
              <w:bottom w:val="nil"/>
              <w:right w:val="nil"/>
            </w:tcBorders>
            <w:noWrap/>
            <w:vAlign w:val="center"/>
            <w:hideMark/>
          </w:tcPr>
          <w:p w14:paraId="02871CBA" w14:textId="77777777" w:rsidR="00900D66" w:rsidRPr="00900D66" w:rsidRDefault="00900D66" w:rsidP="00900D66">
            <w:pPr>
              <w:spacing w:after="0" w:line="240" w:lineRule="auto"/>
              <w:rPr>
                <w:rFonts w:ascii="Arial" w:eastAsia="Times New Roman" w:hAnsi="Arial" w:cs="Arial"/>
                <w:color w:val="000000"/>
                <w:kern w:val="0"/>
                <w:sz w:val="20"/>
                <w:szCs w:val="20"/>
                <w:lang w:eastAsia="en-GB"/>
                <w14:ligatures w14:val="none"/>
              </w:rPr>
            </w:pPr>
            <w:r w:rsidRPr="00900D66">
              <w:rPr>
                <w:rFonts w:ascii="Arial" w:eastAsia="Times New Roman" w:hAnsi="Arial" w:cs="Arial"/>
                <w:color w:val="000000"/>
                <w:kern w:val="0"/>
                <w:sz w:val="20"/>
                <w:szCs w:val="20"/>
                <w:lang w:eastAsia="en-GB"/>
                <w14:ligatures w14:val="none"/>
              </w:rPr>
              <w:t>Infraspinatus fatty infiltration grade 2, n (%)</w:t>
            </w:r>
          </w:p>
        </w:tc>
        <w:tc>
          <w:tcPr>
            <w:tcW w:w="1634" w:type="dxa"/>
            <w:tcBorders>
              <w:top w:val="nil"/>
              <w:left w:val="nil"/>
              <w:bottom w:val="nil"/>
              <w:right w:val="nil"/>
            </w:tcBorders>
            <w:noWrap/>
            <w:vAlign w:val="center"/>
            <w:hideMark/>
          </w:tcPr>
          <w:p w14:paraId="1465BC20" w14:textId="77777777" w:rsidR="00900D66" w:rsidRPr="00900D66" w:rsidRDefault="00900D66" w:rsidP="00504B2A">
            <w:pPr>
              <w:spacing w:after="0" w:line="240" w:lineRule="auto"/>
              <w:jc w:val="center"/>
              <w:rPr>
                <w:rFonts w:ascii="Arial" w:eastAsia="Times New Roman" w:hAnsi="Arial" w:cs="Arial"/>
                <w:color w:val="000000"/>
                <w:kern w:val="0"/>
                <w:sz w:val="20"/>
                <w:szCs w:val="20"/>
                <w:lang w:eastAsia="en-GB"/>
                <w14:ligatures w14:val="none"/>
              </w:rPr>
            </w:pPr>
            <w:r w:rsidRPr="00900D66">
              <w:rPr>
                <w:rFonts w:ascii="Arial" w:eastAsia="Times New Roman" w:hAnsi="Arial" w:cs="Arial"/>
                <w:color w:val="000000"/>
                <w:kern w:val="0"/>
                <w:sz w:val="20"/>
                <w:szCs w:val="20"/>
                <w:lang w:eastAsia="en-GB"/>
                <w14:ligatures w14:val="none"/>
              </w:rPr>
              <w:t>14 (31.1)</w:t>
            </w:r>
          </w:p>
        </w:tc>
        <w:tc>
          <w:tcPr>
            <w:tcW w:w="1600" w:type="dxa"/>
            <w:tcBorders>
              <w:top w:val="nil"/>
              <w:left w:val="nil"/>
              <w:bottom w:val="nil"/>
              <w:right w:val="nil"/>
            </w:tcBorders>
            <w:noWrap/>
            <w:vAlign w:val="center"/>
            <w:hideMark/>
          </w:tcPr>
          <w:p w14:paraId="1DEEE614" w14:textId="77777777" w:rsidR="00900D66" w:rsidRPr="00900D66" w:rsidRDefault="00900D66" w:rsidP="00504B2A">
            <w:pPr>
              <w:spacing w:after="0" w:line="240" w:lineRule="auto"/>
              <w:jc w:val="center"/>
              <w:rPr>
                <w:rFonts w:ascii="Arial" w:eastAsia="Times New Roman" w:hAnsi="Arial" w:cs="Arial"/>
                <w:color w:val="000000"/>
                <w:kern w:val="0"/>
                <w:sz w:val="20"/>
                <w:szCs w:val="20"/>
                <w:lang w:eastAsia="en-GB"/>
                <w14:ligatures w14:val="none"/>
              </w:rPr>
            </w:pPr>
            <w:r w:rsidRPr="00900D66">
              <w:rPr>
                <w:rFonts w:ascii="Arial" w:eastAsia="Times New Roman" w:hAnsi="Arial" w:cs="Arial"/>
                <w:color w:val="000000"/>
                <w:kern w:val="0"/>
                <w:sz w:val="20"/>
                <w:szCs w:val="20"/>
                <w:lang w:eastAsia="en-GB"/>
                <w14:ligatures w14:val="none"/>
              </w:rPr>
              <w:t>13 (86.7)</w:t>
            </w:r>
          </w:p>
        </w:tc>
        <w:tc>
          <w:tcPr>
            <w:tcW w:w="1023" w:type="dxa"/>
            <w:tcBorders>
              <w:top w:val="nil"/>
              <w:left w:val="nil"/>
              <w:bottom w:val="nil"/>
              <w:right w:val="nil"/>
            </w:tcBorders>
            <w:noWrap/>
            <w:vAlign w:val="center"/>
            <w:hideMark/>
          </w:tcPr>
          <w:p w14:paraId="70FD5E8F" w14:textId="77777777" w:rsidR="00900D66" w:rsidRPr="00900D66" w:rsidRDefault="00900D66" w:rsidP="00504B2A">
            <w:pPr>
              <w:spacing w:after="0" w:line="240" w:lineRule="auto"/>
              <w:jc w:val="center"/>
              <w:rPr>
                <w:rFonts w:ascii="Arial" w:eastAsia="Times New Roman" w:hAnsi="Arial" w:cs="Arial"/>
                <w:color w:val="000000"/>
                <w:kern w:val="0"/>
                <w:sz w:val="20"/>
                <w:szCs w:val="20"/>
                <w:lang w:eastAsia="en-GB"/>
                <w14:ligatures w14:val="none"/>
              </w:rPr>
            </w:pPr>
            <w:r w:rsidRPr="00900D66">
              <w:rPr>
                <w:rFonts w:ascii="Arial" w:eastAsia="Times New Roman" w:hAnsi="Arial" w:cs="Arial"/>
                <w:color w:val="000000"/>
                <w:kern w:val="0"/>
                <w:sz w:val="20"/>
                <w:szCs w:val="20"/>
                <w:lang w:eastAsia="en-GB"/>
                <w14:ligatures w14:val="none"/>
              </w:rPr>
              <w:t>0.001†</w:t>
            </w:r>
          </w:p>
        </w:tc>
      </w:tr>
      <w:tr w:rsidR="00900D66" w:rsidRPr="00900D66" w14:paraId="3AAE4C0E" w14:textId="77777777" w:rsidTr="00504B2A">
        <w:trPr>
          <w:trHeight w:val="60"/>
          <w:jc w:val="center"/>
        </w:trPr>
        <w:tc>
          <w:tcPr>
            <w:tcW w:w="4551" w:type="dxa"/>
            <w:tcBorders>
              <w:top w:val="nil"/>
              <w:left w:val="nil"/>
              <w:bottom w:val="nil"/>
              <w:right w:val="nil"/>
            </w:tcBorders>
            <w:noWrap/>
            <w:vAlign w:val="center"/>
            <w:hideMark/>
          </w:tcPr>
          <w:p w14:paraId="7AB34889" w14:textId="77777777" w:rsidR="00900D66" w:rsidRPr="00900D66" w:rsidRDefault="00900D66" w:rsidP="00900D66">
            <w:pPr>
              <w:spacing w:after="0" w:line="240" w:lineRule="auto"/>
              <w:rPr>
                <w:rFonts w:ascii="Arial" w:eastAsia="Times New Roman" w:hAnsi="Arial" w:cs="Arial"/>
                <w:color w:val="000000"/>
                <w:kern w:val="0"/>
                <w:sz w:val="20"/>
                <w:szCs w:val="20"/>
                <w:lang w:eastAsia="en-GB"/>
                <w14:ligatures w14:val="none"/>
              </w:rPr>
            </w:pPr>
            <w:r w:rsidRPr="00900D66">
              <w:rPr>
                <w:rFonts w:ascii="Arial" w:eastAsia="Times New Roman" w:hAnsi="Arial" w:cs="Arial"/>
                <w:color w:val="000000"/>
                <w:kern w:val="0"/>
                <w:sz w:val="20"/>
                <w:szCs w:val="20"/>
                <w:lang w:eastAsia="en-GB"/>
                <w14:ligatures w14:val="none"/>
              </w:rPr>
              <w:t>Acromiohumeral distance (mm), mean ± SD</w:t>
            </w:r>
          </w:p>
        </w:tc>
        <w:tc>
          <w:tcPr>
            <w:tcW w:w="1634" w:type="dxa"/>
            <w:tcBorders>
              <w:top w:val="nil"/>
              <w:left w:val="nil"/>
              <w:bottom w:val="nil"/>
              <w:right w:val="nil"/>
            </w:tcBorders>
            <w:noWrap/>
            <w:vAlign w:val="center"/>
            <w:hideMark/>
          </w:tcPr>
          <w:p w14:paraId="4AF2A003" w14:textId="77777777" w:rsidR="00900D66" w:rsidRPr="00900D66" w:rsidRDefault="00900D66" w:rsidP="00504B2A">
            <w:pPr>
              <w:spacing w:after="0" w:line="240" w:lineRule="auto"/>
              <w:jc w:val="center"/>
              <w:rPr>
                <w:rFonts w:ascii="Arial" w:eastAsia="Times New Roman" w:hAnsi="Arial" w:cs="Arial"/>
                <w:color w:val="000000"/>
                <w:kern w:val="0"/>
                <w:sz w:val="20"/>
                <w:szCs w:val="20"/>
                <w:lang w:eastAsia="en-GB"/>
                <w14:ligatures w14:val="none"/>
              </w:rPr>
            </w:pPr>
            <w:r w:rsidRPr="00900D66">
              <w:rPr>
                <w:rFonts w:ascii="Arial" w:eastAsia="Times New Roman" w:hAnsi="Arial" w:cs="Arial"/>
                <w:color w:val="000000"/>
                <w:kern w:val="0"/>
                <w:sz w:val="20"/>
                <w:szCs w:val="20"/>
                <w:lang w:eastAsia="en-GB"/>
                <w14:ligatures w14:val="none"/>
              </w:rPr>
              <w:t>5.2 ± 1.2</w:t>
            </w:r>
          </w:p>
        </w:tc>
        <w:tc>
          <w:tcPr>
            <w:tcW w:w="1600" w:type="dxa"/>
            <w:tcBorders>
              <w:top w:val="nil"/>
              <w:left w:val="nil"/>
              <w:bottom w:val="nil"/>
              <w:right w:val="nil"/>
            </w:tcBorders>
            <w:noWrap/>
            <w:vAlign w:val="center"/>
            <w:hideMark/>
          </w:tcPr>
          <w:p w14:paraId="58F170D3" w14:textId="77777777" w:rsidR="00900D66" w:rsidRPr="00900D66" w:rsidRDefault="00900D66" w:rsidP="00504B2A">
            <w:pPr>
              <w:spacing w:after="0" w:line="240" w:lineRule="auto"/>
              <w:jc w:val="center"/>
              <w:rPr>
                <w:rFonts w:ascii="Arial" w:eastAsia="Times New Roman" w:hAnsi="Arial" w:cs="Arial"/>
                <w:color w:val="000000"/>
                <w:kern w:val="0"/>
                <w:sz w:val="20"/>
                <w:szCs w:val="20"/>
                <w:lang w:eastAsia="en-GB"/>
                <w14:ligatures w14:val="none"/>
              </w:rPr>
            </w:pPr>
            <w:r w:rsidRPr="00900D66">
              <w:rPr>
                <w:rFonts w:ascii="Arial" w:eastAsia="Times New Roman" w:hAnsi="Arial" w:cs="Arial"/>
                <w:color w:val="000000"/>
                <w:kern w:val="0"/>
                <w:sz w:val="20"/>
                <w:szCs w:val="20"/>
                <w:lang w:eastAsia="en-GB"/>
                <w14:ligatures w14:val="none"/>
              </w:rPr>
              <w:t>4.3 ± 0.9</w:t>
            </w:r>
          </w:p>
        </w:tc>
        <w:tc>
          <w:tcPr>
            <w:tcW w:w="1023" w:type="dxa"/>
            <w:tcBorders>
              <w:top w:val="nil"/>
              <w:left w:val="nil"/>
              <w:bottom w:val="nil"/>
              <w:right w:val="nil"/>
            </w:tcBorders>
            <w:noWrap/>
            <w:vAlign w:val="center"/>
            <w:hideMark/>
          </w:tcPr>
          <w:p w14:paraId="41823168" w14:textId="77777777" w:rsidR="00900D66" w:rsidRPr="00900D66" w:rsidRDefault="00900D66" w:rsidP="00504B2A">
            <w:pPr>
              <w:spacing w:after="0" w:line="240" w:lineRule="auto"/>
              <w:jc w:val="center"/>
              <w:rPr>
                <w:rFonts w:ascii="Arial" w:eastAsia="Times New Roman" w:hAnsi="Arial" w:cs="Arial"/>
                <w:color w:val="000000"/>
                <w:kern w:val="0"/>
                <w:sz w:val="20"/>
                <w:szCs w:val="20"/>
                <w:lang w:eastAsia="en-GB"/>
                <w14:ligatures w14:val="none"/>
              </w:rPr>
            </w:pPr>
            <w:r w:rsidRPr="00900D66">
              <w:rPr>
                <w:rFonts w:ascii="Arial" w:eastAsia="Times New Roman" w:hAnsi="Arial" w:cs="Arial"/>
                <w:color w:val="000000"/>
                <w:kern w:val="0"/>
                <w:sz w:val="20"/>
                <w:szCs w:val="20"/>
                <w:lang w:eastAsia="en-GB"/>
                <w14:ligatures w14:val="none"/>
              </w:rPr>
              <w:t>0.008*</w:t>
            </w:r>
          </w:p>
        </w:tc>
      </w:tr>
      <w:tr w:rsidR="00900D66" w:rsidRPr="00900D66" w14:paraId="7A8AAEED" w14:textId="77777777" w:rsidTr="00504B2A">
        <w:trPr>
          <w:trHeight w:val="60"/>
          <w:jc w:val="center"/>
        </w:trPr>
        <w:tc>
          <w:tcPr>
            <w:tcW w:w="4551" w:type="dxa"/>
            <w:tcBorders>
              <w:top w:val="nil"/>
              <w:left w:val="nil"/>
              <w:bottom w:val="nil"/>
              <w:right w:val="nil"/>
            </w:tcBorders>
            <w:noWrap/>
            <w:vAlign w:val="center"/>
            <w:hideMark/>
          </w:tcPr>
          <w:p w14:paraId="4BA896CB" w14:textId="77777777" w:rsidR="00900D66" w:rsidRPr="00900D66" w:rsidRDefault="00900D66" w:rsidP="00900D66">
            <w:pPr>
              <w:spacing w:after="0" w:line="240" w:lineRule="auto"/>
              <w:rPr>
                <w:rFonts w:ascii="Arial" w:eastAsia="Times New Roman" w:hAnsi="Arial" w:cs="Arial"/>
                <w:color w:val="000000"/>
                <w:kern w:val="0"/>
                <w:sz w:val="20"/>
                <w:szCs w:val="20"/>
                <w:lang w:eastAsia="en-GB"/>
                <w14:ligatures w14:val="none"/>
              </w:rPr>
            </w:pPr>
            <w:proofErr w:type="spellStart"/>
            <w:r w:rsidRPr="00900D66">
              <w:rPr>
                <w:rFonts w:ascii="Arial" w:eastAsia="Times New Roman" w:hAnsi="Arial" w:cs="Arial"/>
                <w:color w:val="000000"/>
                <w:kern w:val="0"/>
                <w:sz w:val="20"/>
                <w:szCs w:val="20"/>
                <w:lang w:eastAsia="en-GB"/>
                <w14:ligatures w14:val="none"/>
              </w:rPr>
              <w:t>Inferoglenohumeral</w:t>
            </w:r>
            <w:proofErr w:type="spellEnd"/>
            <w:r w:rsidRPr="00900D66">
              <w:rPr>
                <w:rFonts w:ascii="Arial" w:eastAsia="Times New Roman" w:hAnsi="Arial" w:cs="Arial"/>
                <w:color w:val="000000"/>
                <w:kern w:val="0"/>
                <w:sz w:val="20"/>
                <w:szCs w:val="20"/>
                <w:lang w:eastAsia="en-GB"/>
                <w14:ligatures w14:val="none"/>
              </w:rPr>
              <w:t xml:space="preserve"> distance (mm), mean ± SD</w:t>
            </w:r>
          </w:p>
        </w:tc>
        <w:tc>
          <w:tcPr>
            <w:tcW w:w="1634" w:type="dxa"/>
            <w:tcBorders>
              <w:top w:val="nil"/>
              <w:left w:val="nil"/>
              <w:bottom w:val="nil"/>
              <w:right w:val="nil"/>
            </w:tcBorders>
            <w:noWrap/>
            <w:vAlign w:val="center"/>
            <w:hideMark/>
          </w:tcPr>
          <w:p w14:paraId="1DADBE31" w14:textId="77777777" w:rsidR="00900D66" w:rsidRPr="00900D66" w:rsidRDefault="00900D66" w:rsidP="00504B2A">
            <w:pPr>
              <w:spacing w:after="0" w:line="240" w:lineRule="auto"/>
              <w:jc w:val="center"/>
              <w:rPr>
                <w:rFonts w:ascii="Arial" w:eastAsia="Times New Roman" w:hAnsi="Arial" w:cs="Arial"/>
                <w:color w:val="000000"/>
                <w:kern w:val="0"/>
                <w:sz w:val="20"/>
                <w:szCs w:val="20"/>
                <w:lang w:eastAsia="en-GB"/>
                <w14:ligatures w14:val="none"/>
              </w:rPr>
            </w:pPr>
            <w:r w:rsidRPr="00900D66">
              <w:rPr>
                <w:rFonts w:ascii="Arial" w:eastAsia="Times New Roman" w:hAnsi="Arial" w:cs="Arial"/>
                <w:color w:val="000000"/>
                <w:kern w:val="0"/>
                <w:sz w:val="20"/>
                <w:szCs w:val="20"/>
                <w:lang w:eastAsia="en-GB"/>
                <w14:ligatures w14:val="none"/>
              </w:rPr>
              <w:t>6.4 ± 1.3</w:t>
            </w:r>
          </w:p>
        </w:tc>
        <w:tc>
          <w:tcPr>
            <w:tcW w:w="1600" w:type="dxa"/>
            <w:tcBorders>
              <w:top w:val="nil"/>
              <w:left w:val="nil"/>
              <w:bottom w:val="nil"/>
              <w:right w:val="nil"/>
            </w:tcBorders>
            <w:noWrap/>
            <w:vAlign w:val="center"/>
            <w:hideMark/>
          </w:tcPr>
          <w:p w14:paraId="2D662C7A" w14:textId="77777777" w:rsidR="00900D66" w:rsidRPr="00900D66" w:rsidRDefault="00900D66" w:rsidP="00504B2A">
            <w:pPr>
              <w:spacing w:after="0" w:line="240" w:lineRule="auto"/>
              <w:jc w:val="center"/>
              <w:rPr>
                <w:rFonts w:ascii="Arial" w:eastAsia="Times New Roman" w:hAnsi="Arial" w:cs="Arial"/>
                <w:color w:val="000000"/>
                <w:kern w:val="0"/>
                <w:sz w:val="20"/>
                <w:szCs w:val="20"/>
                <w:lang w:eastAsia="en-GB"/>
                <w14:ligatures w14:val="none"/>
              </w:rPr>
            </w:pPr>
            <w:r w:rsidRPr="00900D66">
              <w:rPr>
                <w:rFonts w:ascii="Arial" w:eastAsia="Times New Roman" w:hAnsi="Arial" w:cs="Arial"/>
                <w:color w:val="000000"/>
                <w:kern w:val="0"/>
                <w:sz w:val="20"/>
                <w:szCs w:val="20"/>
                <w:lang w:eastAsia="en-GB"/>
                <w14:ligatures w14:val="none"/>
              </w:rPr>
              <w:t>8.8 ± 0.4</w:t>
            </w:r>
          </w:p>
        </w:tc>
        <w:tc>
          <w:tcPr>
            <w:tcW w:w="1023" w:type="dxa"/>
            <w:tcBorders>
              <w:top w:val="nil"/>
              <w:left w:val="nil"/>
              <w:bottom w:val="nil"/>
              <w:right w:val="nil"/>
            </w:tcBorders>
            <w:noWrap/>
            <w:vAlign w:val="center"/>
            <w:hideMark/>
          </w:tcPr>
          <w:p w14:paraId="43C51385" w14:textId="77777777" w:rsidR="00900D66" w:rsidRPr="00900D66" w:rsidRDefault="00900D66" w:rsidP="00504B2A">
            <w:pPr>
              <w:spacing w:after="0" w:line="240" w:lineRule="auto"/>
              <w:jc w:val="center"/>
              <w:rPr>
                <w:rFonts w:ascii="Arial" w:eastAsia="Times New Roman" w:hAnsi="Arial" w:cs="Arial"/>
                <w:color w:val="000000"/>
                <w:kern w:val="0"/>
                <w:sz w:val="20"/>
                <w:szCs w:val="20"/>
                <w:lang w:eastAsia="en-GB"/>
                <w14:ligatures w14:val="none"/>
              </w:rPr>
            </w:pPr>
            <w:r w:rsidRPr="00900D66">
              <w:rPr>
                <w:rFonts w:ascii="Arial" w:eastAsia="Times New Roman" w:hAnsi="Arial" w:cs="Arial"/>
                <w:color w:val="000000"/>
                <w:kern w:val="0"/>
                <w:sz w:val="20"/>
                <w:szCs w:val="20"/>
                <w:lang w:eastAsia="en-GB"/>
                <w14:ligatures w14:val="none"/>
              </w:rPr>
              <w:t>&lt;0.0001*</w:t>
            </w:r>
          </w:p>
        </w:tc>
      </w:tr>
      <w:tr w:rsidR="00900D66" w:rsidRPr="00900D66" w14:paraId="07AB0486" w14:textId="77777777" w:rsidTr="00504B2A">
        <w:trPr>
          <w:trHeight w:val="60"/>
          <w:jc w:val="center"/>
        </w:trPr>
        <w:tc>
          <w:tcPr>
            <w:tcW w:w="4551" w:type="dxa"/>
            <w:tcBorders>
              <w:top w:val="nil"/>
              <w:left w:val="nil"/>
              <w:bottom w:val="nil"/>
              <w:right w:val="nil"/>
            </w:tcBorders>
            <w:noWrap/>
            <w:vAlign w:val="center"/>
            <w:hideMark/>
          </w:tcPr>
          <w:p w14:paraId="3565C398" w14:textId="77777777" w:rsidR="00900D66" w:rsidRPr="00900D66" w:rsidRDefault="00900D66" w:rsidP="00900D66">
            <w:pPr>
              <w:spacing w:after="0" w:line="240" w:lineRule="auto"/>
              <w:rPr>
                <w:rFonts w:ascii="Arial" w:eastAsia="Times New Roman" w:hAnsi="Arial" w:cs="Arial"/>
                <w:color w:val="000000"/>
                <w:kern w:val="0"/>
                <w:sz w:val="20"/>
                <w:szCs w:val="20"/>
                <w:lang w:eastAsia="en-GB"/>
                <w14:ligatures w14:val="none"/>
              </w:rPr>
            </w:pPr>
            <w:r w:rsidRPr="00900D66">
              <w:rPr>
                <w:rFonts w:ascii="Arial" w:eastAsia="Times New Roman" w:hAnsi="Arial" w:cs="Arial"/>
                <w:color w:val="000000"/>
                <w:kern w:val="0"/>
                <w:sz w:val="20"/>
                <w:szCs w:val="20"/>
                <w:lang w:eastAsia="en-GB"/>
                <w14:ligatures w14:val="none"/>
              </w:rPr>
              <w:t>Patte grade 3 retraction, n (%)</w:t>
            </w:r>
          </w:p>
        </w:tc>
        <w:tc>
          <w:tcPr>
            <w:tcW w:w="1634" w:type="dxa"/>
            <w:tcBorders>
              <w:top w:val="nil"/>
              <w:left w:val="nil"/>
              <w:bottom w:val="nil"/>
              <w:right w:val="nil"/>
            </w:tcBorders>
            <w:noWrap/>
            <w:vAlign w:val="center"/>
            <w:hideMark/>
          </w:tcPr>
          <w:p w14:paraId="1C0D5DAF" w14:textId="77777777" w:rsidR="00900D66" w:rsidRPr="00900D66" w:rsidRDefault="00900D66" w:rsidP="00504B2A">
            <w:pPr>
              <w:spacing w:after="0" w:line="240" w:lineRule="auto"/>
              <w:jc w:val="center"/>
              <w:rPr>
                <w:rFonts w:ascii="Arial" w:eastAsia="Times New Roman" w:hAnsi="Arial" w:cs="Arial"/>
                <w:color w:val="000000"/>
                <w:kern w:val="0"/>
                <w:sz w:val="20"/>
                <w:szCs w:val="20"/>
                <w:lang w:eastAsia="en-GB"/>
                <w14:ligatures w14:val="none"/>
              </w:rPr>
            </w:pPr>
            <w:r w:rsidRPr="00900D66">
              <w:rPr>
                <w:rFonts w:ascii="Arial" w:eastAsia="Times New Roman" w:hAnsi="Arial" w:cs="Arial"/>
                <w:color w:val="000000"/>
                <w:kern w:val="0"/>
                <w:sz w:val="20"/>
                <w:szCs w:val="20"/>
                <w:lang w:eastAsia="en-GB"/>
                <w14:ligatures w14:val="none"/>
              </w:rPr>
              <w:t>36 (80.0)</w:t>
            </w:r>
          </w:p>
        </w:tc>
        <w:tc>
          <w:tcPr>
            <w:tcW w:w="1600" w:type="dxa"/>
            <w:tcBorders>
              <w:top w:val="nil"/>
              <w:left w:val="nil"/>
              <w:bottom w:val="nil"/>
              <w:right w:val="nil"/>
            </w:tcBorders>
            <w:noWrap/>
            <w:vAlign w:val="center"/>
            <w:hideMark/>
          </w:tcPr>
          <w:p w14:paraId="47CFD6A5" w14:textId="77777777" w:rsidR="00900D66" w:rsidRPr="00900D66" w:rsidRDefault="00900D66" w:rsidP="00504B2A">
            <w:pPr>
              <w:spacing w:after="0" w:line="240" w:lineRule="auto"/>
              <w:jc w:val="center"/>
              <w:rPr>
                <w:rFonts w:ascii="Arial" w:eastAsia="Times New Roman" w:hAnsi="Arial" w:cs="Arial"/>
                <w:color w:val="000000"/>
                <w:kern w:val="0"/>
                <w:sz w:val="20"/>
                <w:szCs w:val="20"/>
                <w:lang w:eastAsia="en-GB"/>
                <w14:ligatures w14:val="none"/>
              </w:rPr>
            </w:pPr>
            <w:r w:rsidRPr="00900D66">
              <w:rPr>
                <w:rFonts w:ascii="Arial" w:eastAsia="Times New Roman" w:hAnsi="Arial" w:cs="Arial"/>
                <w:color w:val="000000"/>
                <w:kern w:val="0"/>
                <w:sz w:val="20"/>
                <w:szCs w:val="20"/>
                <w:lang w:eastAsia="en-GB"/>
                <w14:ligatures w14:val="none"/>
              </w:rPr>
              <w:t>11 (73.3)</w:t>
            </w:r>
          </w:p>
        </w:tc>
        <w:tc>
          <w:tcPr>
            <w:tcW w:w="1023" w:type="dxa"/>
            <w:tcBorders>
              <w:top w:val="nil"/>
              <w:left w:val="nil"/>
              <w:bottom w:val="nil"/>
              <w:right w:val="nil"/>
            </w:tcBorders>
            <w:noWrap/>
            <w:vAlign w:val="center"/>
            <w:hideMark/>
          </w:tcPr>
          <w:p w14:paraId="0B6A4A24" w14:textId="77777777" w:rsidR="00900D66" w:rsidRPr="00900D66" w:rsidRDefault="00900D66" w:rsidP="00504B2A">
            <w:pPr>
              <w:spacing w:after="0" w:line="240" w:lineRule="auto"/>
              <w:jc w:val="center"/>
              <w:rPr>
                <w:rFonts w:ascii="Arial" w:eastAsia="Times New Roman" w:hAnsi="Arial" w:cs="Arial"/>
                <w:color w:val="000000"/>
                <w:kern w:val="0"/>
                <w:sz w:val="20"/>
                <w:szCs w:val="20"/>
                <w:lang w:eastAsia="en-GB"/>
                <w14:ligatures w14:val="none"/>
              </w:rPr>
            </w:pPr>
            <w:r w:rsidRPr="00900D66">
              <w:rPr>
                <w:rFonts w:ascii="Arial" w:eastAsia="Times New Roman" w:hAnsi="Arial" w:cs="Arial"/>
                <w:color w:val="000000"/>
                <w:kern w:val="0"/>
                <w:sz w:val="20"/>
                <w:szCs w:val="20"/>
                <w:lang w:eastAsia="en-GB"/>
                <w14:ligatures w14:val="none"/>
              </w:rPr>
              <w:t>0.719</w:t>
            </w:r>
          </w:p>
        </w:tc>
      </w:tr>
      <w:tr w:rsidR="00900D66" w:rsidRPr="00900D66" w14:paraId="7E4AF505" w14:textId="77777777" w:rsidTr="00504B2A">
        <w:trPr>
          <w:trHeight w:val="60"/>
          <w:jc w:val="center"/>
        </w:trPr>
        <w:tc>
          <w:tcPr>
            <w:tcW w:w="4551" w:type="dxa"/>
            <w:tcBorders>
              <w:top w:val="nil"/>
              <w:left w:val="nil"/>
              <w:bottom w:val="single" w:sz="4" w:space="0" w:color="auto"/>
              <w:right w:val="nil"/>
            </w:tcBorders>
            <w:noWrap/>
            <w:vAlign w:val="center"/>
            <w:hideMark/>
          </w:tcPr>
          <w:p w14:paraId="46D93A0F" w14:textId="77777777" w:rsidR="00900D66" w:rsidRPr="00900D66" w:rsidRDefault="00900D66" w:rsidP="00900D66">
            <w:pPr>
              <w:spacing w:after="0" w:line="240" w:lineRule="auto"/>
              <w:rPr>
                <w:rFonts w:ascii="Arial" w:eastAsia="Times New Roman" w:hAnsi="Arial" w:cs="Arial"/>
                <w:color w:val="000000"/>
                <w:kern w:val="0"/>
                <w:sz w:val="20"/>
                <w:szCs w:val="20"/>
                <w:lang w:eastAsia="en-GB"/>
                <w14:ligatures w14:val="none"/>
              </w:rPr>
            </w:pPr>
            <w:r w:rsidRPr="00900D66">
              <w:rPr>
                <w:rFonts w:ascii="Arial" w:eastAsia="Times New Roman" w:hAnsi="Arial" w:cs="Arial"/>
                <w:color w:val="000000"/>
                <w:kern w:val="0"/>
                <w:sz w:val="20"/>
                <w:szCs w:val="20"/>
                <w:lang w:eastAsia="en-GB"/>
                <w14:ligatures w14:val="none"/>
              </w:rPr>
              <w:t>Mediolateral tear size (mm)</w:t>
            </w:r>
          </w:p>
        </w:tc>
        <w:tc>
          <w:tcPr>
            <w:tcW w:w="1634" w:type="dxa"/>
            <w:tcBorders>
              <w:top w:val="nil"/>
              <w:left w:val="nil"/>
              <w:bottom w:val="single" w:sz="4" w:space="0" w:color="auto"/>
              <w:right w:val="nil"/>
            </w:tcBorders>
            <w:noWrap/>
            <w:vAlign w:val="center"/>
            <w:hideMark/>
          </w:tcPr>
          <w:p w14:paraId="16951FD4" w14:textId="77777777" w:rsidR="00900D66" w:rsidRPr="00900D66" w:rsidRDefault="00900D66" w:rsidP="00504B2A">
            <w:pPr>
              <w:spacing w:after="0" w:line="240" w:lineRule="auto"/>
              <w:jc w:val="center"/>
              <w:rPr>
                <w:rFonts w:ascii="Arial" w:eastAsia="Times New Roman" w:hAnsi="Arial" w:cs="Arial"/>
                <w:color w:val="000000"/>
                <w:kern w:val="0"/>
                <w:sz w:val="20"/>
                <w:szCs w:val="20"/>
                <w:lang w:eastAsia="en-GB"/>
                <w14:ligatures w14:val="none"/>
              </w:rPr>
            </w:pPr>
            <w:r w:rsidRPr="00900D66">
              <w:rPr>
                <w:rFonts w:ascii="Arial" w:eastAsia="Times New Roman" w:hAnsi="Arial" w:cs="Arial"/>
                <w:color w:val="000000"/>
                <w:kern w:val="0"/>
                <w:sz w:val="20"/>
                <w:szCs w:val="20"/>
                <w:lang w:eastAsia="en-GB"/>
                <w14:ligatures w14:val="none"/>
              </w:rPr>
              <w:t>34.9 ± 4.2</w:t>
            </w:r>
          </w:p>
        </w:tc>
        <w:tc>
          <w:tcPr>
            <w:tcW w:w="1600" w:type="dxa"/>
            <w:tcBorders>
              <w:top w:val="nil"/>
              <w:left w:val="nil"/>
              <w:bottom w:val="single" w:sz="4" w:space="0" w:color="auto"/>
              <w:right w:val="nil"/>
            </w:tcBorders>
            <w:noWrap/>
            <w:vAlign w:val="center"/>
            <w:hideMark/>
          </w:tcPr>
          <w:p w14:paraId="71F2BB57" w14:textId="77777777" w:rsidR="00900D66" w:rsidRPr="00900D66" w:rsidRDefault="00900D66" w:rsidP="00504B2A">
            <w:pPr>
              <w:spacing w:after="0" w:line="240" w:lineRule="auto"/>
              <w:jc w:val="center"/>
              <w:rPr>
                <w:rFonts w:ascii="Arial" w:eastAsia="Times New Roman" w:hAnsi="Arial" w:cs="Arial"/>
                <w:color w:val="000000"/>
                <w:kern w:val="0"/>
                <w:sz w:val="20"/>
                <w:szCs w:val="20"/>
                <w:lang w:eastAsia="en-GB"/>
                <w14:ligatures w14:val="none"/>
              </w:rPr>
            </w:pPr>
            <w:r w:rsidRPr="00900D66">
              <w:rPr>
                <w:rFonts w:ascii="Arial" w:eastAsia="Times New Roman" w:hAnsi="Arial" w:cs="Arial"/>
                <w:color w:val="000000"/>
                <w:kern w:val="0"/>
                <w:sz w:val="20"/>
                <w:szCs w:val="20"/>
                <w:lang w:eastAsia="en-GB"/>
                <w14:ligatures w14:val="none"/>
              </w:rPr>
              <w:t>35.8 ± 5.1</w:t>
            </w:r>
          </w:p>
        </w:tc>
        <w:tc>
          <w:tcPr>
            <w:tcW w:w="1023" w:type="dxa"/>
            <w:tcBorders>
              <w:top w:val="nil"/>
              <w:left w:val="nil"/>
              <w:bottom w:val="single" w:sz="4" w:space="0" w:color="auto"/>
              <w:right w:val="nil"/>
            </w:tcBorders>
            <w:noWrap/>
            <w:vAlign w:val="center"/>
            <w:hideMark/>
          </w:tcPr>
          <w:p w14:paraId="0809E2B5" w14:textId="77777777" w:rsidR="00900D66" w:rsidRPr="00900D66" w:rsidRDefault="00900D66" w:rsidP="00504B2A">
            <w:pPr>
              <w:spacing w:after="0" w:line="240" w:lineRule="auto"/>
              <w:jc w:val="center"/>
              <w:rPr>
                <w:rFonts w:ascii="Arial" w:eastAsia="Times New Roman" w:hAnsi="Arial" w:cs="Arial"/>
                <w:color w:val="000000"/>
                <w:kern w:val="0"/>
                <w:sz w:val="20"/>
                <w:szCs w:val="20"/>
                <w:lang w:eastAsia="en-GB"/>
                <w14:ligatures w14:val="none"/>
              </w:rPr>
            </w:pPr>
            <w:r w:rsidRPr="00900D66">
              <w:rPr>
                <w:rFonts w:ascii="Arial" w:eastAsia="Times New Roman" w:hAnsi="Arial" w:cs="Arial"/>
                <w:color w:val="000000"/>
                <w:kern w:val="0"/>
                <w:sz w:val="20"/>
                <w:szCs w:val="20"/>
                <w:lang w:eastAsia="en-GB"/>
                <w14:ligatures w14:val="none"/>
              </w:rPr>
              <w:t>0.51</w:t>
            </w:r>
          </w:p>
        </w:tc>
      </w:tr>
    </w:tbl>
    <w:p w14:paraId="2FD5B52C" w14:textId="27B5302E" w:rsidR="00D74ED4" w:rsidRDefault="00094BE8" w:rsidP="00D74ED4">
      <w:pPr>
        <w:pStyle w:val="NormalWeb"/>
        <w:spacing w:before="0" w:beforeAutospacing="0" w:after="0" w:afterAutospacing="0"/>
        <w:jc w:val="center"/>
        <w:rPr>
          <w:rFonts w:ascii="Arial" w:hAnsi="Arial" w:cs="Arial"/>
          <w:sz w:val="20"/>
          <w:szCs w:val="20"/>
        </w:rPr>
      </w:pPr>
      <w:r w:rsidRPr="00094BE8">
        <w:rPr>
          <w:rFonts w:ascii="Arial" w:hAnsi="Arial" w:cs="Arial"/>
          <w:sz w:val="20"/>
          <w:szCs w:val="20"/>
        </w:rPr>
        <w:t>*Independent t</w:t>
      </w:r>
      <w:r w:rsidRPr="00094BE8">
        <w:rPr>
          <w:rFonts w:ascii="Arial" w:hAnsi="Arial" w:cs="Arial"/>
          <w:sz w:val="20"/>
          <w:szCs w:val="20"/>
        </w:rPr>
        <w:noBreakHyphen/>
        <w:t>test; †Fisher’s exact test.</w:t>
      </w:r>
    </w:p>
    <w:p w14:paraId="3482B96C" w14:textId="77777777" w:rsidR="00D74ED4" w:rsidRDefault="00D74ED4" w:rsidP="00094BE8">
      <w:pPr>
        <w:pStyle w:val="NormalWeb"/>
        <w:spacing w:before="0" w:beforeAutospacing="0" w:after="0" w:afterAutospacing="0"/>
        <w:jc w:val="both"/>
        <w:rPr>
          <w:rFonts w:ascii="Arial" w:hAnsi="Arial" w:cs="Arial"/>
          <w:sz w:val="20"/>
          <w:szCs w:val="20"/>
        </w:rPr>
      </w:pPr>
    </w:p>
    <w:p w14:paraId="18AE7F79" w14:textId="77777777" w:rsidR="00C7093F" w:rsidRDefault="00C7093F" w:rsidP="00094BE8">
      <w:pPr>
        <w:pStyle w:val="NormalWeb"/>
        <w:spacing w:before="0" w:beforeAutospacing="0" w:after="0" w:afterAutospacing="0"/>
        <w:jc w:val="both"/>
        <w:rPr>
          <w:rFonts w:ascii="Arial" w:hAnsi="Arial" w:cs="Arial"/>
          <w:i/>
          <w:iCs/>
          <w:sz w:val="20"/>
          <w:szCs w:val="20"/>
        </w:rPr>
        <w:sectPr w:rsidR="00C7093F" w:rsidSect="00C7093F">
          <w:type w:val="continuous"/>
          <w:pgSz w:w="11906" w:h="16838"/>
          <w:pgMar w:top="1440" w:right="1440" w:bottom="1440" w:left="1440" w:header="720" w:footer="720" w:gutter="0"/>
          <w:cols w:space="720"/>
          <w:titlePg/>
          <w:docGrid w:linePitch="360"/>
        </w:sectPr>
      </w:pPr>
    </w:p>
    <w:p w14:paraId="680A958A" w14:textId="77777777" w:rsidR="00D74ED4" w:rsidRPr="00D74ED4" w:rsidRDefault="00094BE8" w:rsidP="00094BE8">
      <w:pPr>
        <w:pStyle w:val="NormalWeb"/>
        <w:spacing w:before="0" w:beforeAutospacing="0" w:after="0" w:afterAutospacing="0"/>
        <w:jc w:val="both"/>
        <w:rPr>
          <w:rFonts w:ascii="Arial" w:hAnsi="Arial" w:cs="Arial"/>
          <w:i/>
          <w:iCs/>
          <w:sz w:val="20"/>
          <w:szCs w:val="20"/>
        </w:rPr>
      </w:pPr>
      <w:r w:rsidRPr="00D74ED4">
        <w:rPr>
          <w:rFonts w:ascii="Arial" w:hAnsi="Arial" w:cs="Arial"/>
          <w:i/>
          <w:iCs/>
          <w:sz w:val="20"/>
          <w:szCs w:val="20"/>
        </w:rPr>
        <w:t>Intraoperative and PRF</w:t>
      </w:r>
      <w:r w:rsidRPr="00D74ED4">
        <w:rPr>
          <w:rFonts w:ascii="Arial" w:hAnsi="Arial" w:cs="Arial"/>
          <w:i/>
          <w:iCs/>
          <w:sz w:val="20"/>
          <w:szCs w:val="20"/>
        </w:rPr>
        <w:noBreakHyphen/>
        <w:t>related variables</w:t>
      </w:r>
    </w:p>
    <w:p w14:paraId="40482FA5" w14:textId="03C64325" w:rsid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No significant differences were observed between groups for tear configuration (Burkhart classification), number of involved tendons (Colin classification), biceps tendon pathology, PRF volume used (mean 4.44 mL overall), platelet concentration in PRF, or peripheral blood platelet count (all p &gt; 0.05). Thus, the biological augmentation was similar across patients.</w:t>
      </w:r>
    </w:p>
    <w:p w14:paraId="40CF0345" w14:textId="77777777" w:rsidR="00387910" w:rsidRPr="00094BE8" w:rsidRDefault="00387910" w:rsidP="00094BE8">
      <w:pPr>
        <w:pStyle w:val="NormalWeb"/>
        <w:spacing w:before="0" w:beforeAutospacing="0" w:after="0" w:afterAutospacing="0"/>
        <w:jc w:val="both"/>
        <w:rPr>
          <w:rFonts w:ascii="Arial" w:hAnsi="Arial" w:cs="Arial"/>
          <w:sz w:val="20"/>
          <w:szCs w:val="20"/>
        </w:rPr>
      </w:pPr>
    </w:p>
    <w:p w14:paraId="723C6730" w14:textId="77777777" w:rsidR="00387910" w:rsidRPr="00387910" w:rsidRDefault="00094BE8" w:rsidP="00094BE8">
      <w:pPr>
        <w:pStyle w:val="NormalWeb"/>
        <w:spacing w:before="0" w:beforeAutospacing="0" w:after="0" w:afterAutospacing="0"/>
        <w:jc w:val="both"/>
        <w:rPr>
          <w:rFonts w:ascii="Arial" w:hAnsi="Arial" w:cs="Arial"/>
          <w:i/>
          <w:iCs/>
          <w:sz w:val="20"/>
          <w:szCs w:val="20"/>
        </w:rPr>
      </w:pPr>
      <w:r w:rsidRPr="00387910">
        <w:rPr>
          <w:rFonts w:ascii="Arial" w:hAnsi="Arial" w:cs="Arial"/>
          <w:i/>
          <w:iCs/>
          <w:sz w:val="20"/>
          <w:szCs w:val="20"/>
        </w:rPr>
        <w:t>Univariate and multivariate logistic regression</w:t>
      </w:r>
    </w:p>
    <w:p w14:paraId="2C58A462" w14:textId="554925CF" w:rsidR="00094BE8" w:rsidRP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 xml:space="preserve">Univariate logistic regression (Table 3) identified several factors significantly associated with retear: age (OR = 1.12 per year, 95% CI: 1.02–1.23, p = 0.018), infraspinatus fatty infiltration grade 2 versus grade 0–1 (OR = 10.2, 95% CI: </w:t>
      </w:r>
      <w:r w:rsidRPr="00094BE8">
        <w:rPr>
          <w:rFonts w:ascii="Arial" w:hAnsi="Arial" w:cs="Arial"/>
          <w:sz w:val="20"/>
          <w:szCs w:val="20"/>
        </w:rPr>
        <w:t>2.00–53.27, p = 0.005), supraspinatus occupation ratio (OR = 0.63 per 1% increase, 95% CI: 0.49–0.81, p &lt; 0.001), infraspinatus occupation ratio (OR = 0.78, 95% CI: 0.69–0.88, p &lt; 0.001), AHD (OR = 0.45 per mm, 95% CI: 0.24–0.85, p = 0.013), and IGHD (OR = 902.97, 95% CI: 2.67–304,830.8, p = 0.022). The extreme OR for IGHD indicates model instability due to sparse data.</w:t>
      </w:r>
    </w:p>
    <w:p w14:paraId="5FA71C77" w14:textId="3D58F1A1" w:rsid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Given the limited number of events (n=15), we constructed a multivariate model with four prespecified predictors: age, supraspinatus occupation ratio, infraspinatus fatty infiltration grade, and AHD. We excluded IGHD because of its unstable estimate and collinearity with AHD.</w:t>
      </w:r>
    </w:p>
    <w:p w14:paraId="795D053F" w14:textId="77777777" w:rsidR="00C7093F" w:rsidRDefault="00C7093F" w:rsidP="001C1680">
      <w:pPr>
        <w:pStyle w:val="NormalWeb"/>
        <w:spacing w:before="0" w:beforeAutospacing="0" w:after="0" w:afterAutospacing="0"/>
        <w:jc w:val="both"/>
        <w:rPr>
          <w:rFonts w:ascii="Arial" w:hAnsi="Arial" w:cs="Arial"/>
          <w:b/>
          <w:bCs/>
          <w:sz w:val="20"/>
          <w:szCs w:val="20"/>
        </w:rPr>
        <w:sectPr w:rsidR="00C7093F" w:rsidSect="00C7093F">
          <w:type w:val="continuous"/>
          <w:pgSz w:w="11906" w:h="16838"/>
          <w:pgMar w:top="1440" w:right="1440" w:bottom="1440" w:left="1440" w:header="720" w:footer="720" w:gutter="0"/>
          <w:cols w:num="2" w:space="432"/>
          <w:titlePg/>
          <w:docGrid w:linePitch="360"/>
        </w:sectPr>
      </w:pPr>
    </w:p>
    <w:p w14:paraId="40A4A197" w14:textId="77777777" w:rsidR="00E64C18" w:rsidRDefault="00E64C18" w:rsidP="001C1680">
      <w:pPr>
        <w:pStyle w:val="NormalWeb"/>
        <w:spacing w:before="0" w:beforeAutospacing="0" w:after="0" w:afterAutospacing="0"/>
        <w:jc w:val="both"/>
        <w:rPr>
          <w:rFonts w:ascii="Arial" w:hAnsi="Arial" w:cs="Arial"/>
          <w:b/>
          <w:bCs/>
          <w:sz w:val="20"/>
          <w:szCs w:val="20"/>
        </w:rPr>
      </w:pPr>
    </w:p>
    <w:p w14:paraId="28FBEB68" w14:textId="03FA9EA4" w:rsidR="00094BE8" w:rsidRDefault="00094BE8" w:rsidP="0068692C">
      <w:pPr>
        <w:pStyle w:val="NormalWeb"/>
        <w:spacing w:before="0" w:beforeAutospacing="0" w:after="0" w:afterAutospacing="0"/>
        <w:jc w:val="center"/>
        <w:rPr>
          <w:rFonts w:ascii="Arial" w:hAnsi="Arial" w:cs="Arial"/>
          <w:b/>
          <w:bCs/>
          <w:sz w:val="20"/>
          <w:szCs w:val="20"/>
        </w:rPr>
      </w:pPr>
      <w:r w:rsidRPr="0068692C">
        <w:rPr>
          <w:rFonts w:ascii="Arial" w:hAnsi="Arial" w:cs="Arial"/>
          <w:b/>
          <w:bCs/>
          <w:sz w:val="20"/>
          <w:szCs w:val="20"/>
        </w:rPr>
        <w:t>Table 3</w:t>
      </w:r>
      <w:r w:rsidR="0068692C">
        <w:rPr>
          <w:rFonts w:ascii="Arial" w:hAnsi="Arial" w:cs="Arial"/>
          <w:b/>
          <w:bCs/>
          <w:sz w:val="20"/>
          <w:szCs w:val="20"/>
        </w:rPr>
        <w:t>:</w:t>
      </w:r>
      <w:r w:rsidRPr="0068692C">
        <w:rPr>
          <w:rFonts w:ascii="Arial" w:hAnsi="Arial" w:cs="Arial"/>
          <w:b/>
          <w:bCs/>
          <w:sz w:val="20"/>
          <w:szCs w:val="20"/>
        </w:rPr>
        <w:t xml:space="preserve"> Univariate logistic regression for retear</w:t>
      </w:r>
    </w:p>
    <w:tbl>
      <w:tblPr>
        <w:tblW w:w="8290" w:type="dxa"/>
        <w:jc w:val="center"/>
        <w:tblLook w:val="04A0" w:firstRow="1" w:lastRow="0" w:firstColumn="1" w:lastColumn="0" w:noHBand="0" w:noVBand="1"/>
      </w:tblPr>
      <w:tblGrid>
        <w:gridCol w:w="4708"/>
        <w:gridCol w:w="960"/>
        <w:gridCol w:w="1662"/>
        <w:gridCol w:w="960"/>
      </w:tblGrid>
      <w:tr w:rsidR="003342B5" w:rsidRPr="003342B5" w14:paraId="1CB9178B" w14:textId="77777777" w:rsidTr="001C1680">
        <w:trPr>
          <w:trHeight w:val="50"/>
          <w:jc w:val="center"/>
        </w:trPr>
        <w:tc>
          <w:tcPr>
            <w:tcW w:w="4708" w:type="dxa"/>
            <w:tcBorders>
              <w:top w:val="single" w:sz="4" w:space="0" w:color="auto"/>
              <w:left w:val="nil"/>
              <w:bottom w:val="single" w:sz="4" w:space="0" w:color="auto"/>
              <w:right w:val="nil"/>
            </w:tcBorders>
            <w:noWrap/>
            <w:vAlign w:val="center"/>
            <w:hideMark/>
          </w:tcPr>
          <w:p w14:paraId="2C3CFF49" w14:textId="77777777" w:rsidR="003342B5" w:rsidRPr="003342B5" w:rsidRDefault="003342B5" w:rsidP="003342B5">
            <w:pPr>
              <w:spacing w:after="0" w:line="240" w:lineRule="auto"/>
              <w:jc w:val="center"/>
              <w:rPr>
                <w:rFonts w:ascii="Arial" w:eastAsia="Times New Roman" w:hAnsi="Arial" w:cs="Arial"/>
                <w:b/>
                <w:bCs/>
                <w:color w:val="000000"/>
                <w:kern w:val="0"/>
                <w:sz w:val="20"/>
                <w:szCs w:val="20"/>
                <w:lang w:eastAsia="en-GB"/>
                <w14:ligatures w14:val="none"/>
              </w:rPr>
            </w:pPr>
            <w:r w:rsidRPr="003342B5">
              <w:rPr>
                <w:rFonts w:ascii="Arial" w:eastAsia="Times New Roman" w:hAnsi="Arial" w:cs="Arial"/>
                <w:b/>
                <w:bCs/>
                <w:color w:val="000000"/>
                <w:kern w:val="0"/>
                <w:sz w:val="20"/>
                <w:szCs w:val="20"/>
                <w:lang w:eastAsia="en-GB"/>
                <w14:ligatures w14:val="none"/>
              </w:rPr>
              <w:t>Variable</w:t>
            </w:r>
          </w:p>
        </w:tc>
        <w:tc>
          <w:tcPr>
            <w:tcW w:w="960" w:type="dxa"/>
            <w:tcBorders>
              <w:top w:val="single" w:sz="4" w:space="0" w:color="auto"/>
              <w:left w:val="nil"/>
              <w:bottom w:val="single" w:sz="4" w:space="0" w:color="auto"/>
              <w:right w:val="nil"/>
            </w:tcBorders>
            <w:noWrap/>
            <w:vAlign w:val="center"/>
            <w:hideMark/>
          </w:tcPr>
          <w:p w14:paraId="3B1A5EF9" w14:textId="77777777" w:rsidR="003342B5" w:rsidRPr="003342B5" w:rsidRDefault="003342B5" w:rsidP="003342B5">
            <w:pPr>
              <w:spacing w:after="0" w:line="240" w:lineRule="auto"/>
              <w:jc w:val="center"/>
              <w:rPr>
                <w:rFonts w:ascii="Arial" w:eastAsia="Times New Roman" w:hAnsi="Arial" w:cs="Arial"/>
                <w:b/>
                <w:bCs/>
                <w:color w:val="000000"/>
                <w:kern w:val="0"/>
                <w:sz w:val="20"/>
                <w:szCs w:val="20"/>
                <w:lang w:eastAsia="en-GB"/>
                <w14:ligatures w14:val="none"/>
              </w:rPr>
            </w:pPr>
            <w:r w:rsidRPr="003342B5">
              <w:rPr>
                <w:rFonts w:ascii="Arial" w:eastAsia="Times New Roman" w:hAnsi="Arial" w:cs="Arial"/>
                <w:b/>
                <w:bCs/>
                <w:color w:val="000000"/>
                <w:kern w:val="0"/>
                <w:sz w:val="20"/>
                <w:szCs w:val="20"/>
                <w:lang w:eastAsia="en-GB"/>
                <w14:ligatures w14:val="none"/>
              </w:rPr>
              <w:t>OR</w:t>
            </w:r>
          </w:p>
        </w:tc>
        <w:tc>
          <w:tcPr>
            <w:tcW w:w="1662" w:type="dxa"/>
            <w:tcBorders>
              <w:top w:val="single" w:sz="4" w:space="0" w:color="auto"/>
              <w:left w:val="nil"/>
              <w:bottom w:val="single" w:sz="4" w:space="0" w:color="auto"/>
              <w:right w:val="nil"/>
            </w:tcBorders>
            <w:noWrap/>
            <w:vAlign w:val="center"/>
            <w:hideMark/>
          </w:tcPr>
          <w:p w14:paraId="7DBA4CEC" w14:textId="77777777" w:rsidR="003342B5" w:rsidRPr="003342B5" w:rsidRDefault="003342B5" w:rsidP="003342B5">
            <w:pPr>
              <w:spacing w:after="0" w:line="240" w:lineRule="auto"/>
              <w:jc w:val="center"/>
              <w:rPr>
                <w:rFonts w:ascii="Arial" w:eastAsia="Times New Roman" w:hAnsi="Arial" w:cs="Arial"/>
                <w:b/>
                <w:bCs/>
                <w:color w:val="000000"/>
                <w:kern w:val="0"/>
                <w:sz w:val="20"/>
                <w:szCs w:val="20"/>
                <w:lang w:eastAsia="en-GB"/>
                <w14:ligatures w14:val="none"/>
              </w:rPr>
            </w:pPr>
            <w:r w:rsidRPr="003342B5">
              <w:rPr>
                <w:rFonts w:ascii="Arial" w:eastAsia="Times New Roman" w:hAnsi="Arial" w:cs="Arial"/>
                <w:b/>
                <w:bCs/>
                <w:color w:val="000000"/>
                <w:kern w:val="0"/>
                <w:sz w:val="20"/>
                <w:szCs w:val="20"/>
                <w:lang w:eastAsia="en-GB"/>
                <w14:ligatures w14:val="none"/>
              </w:rPr>
              <w:t>95% CI</w:t>
            </w:r>
          </w:p>
        </w:tc>
        <w:tc>
          <w:tcPr>
            <w:tcW w:w="960" w:type="dxa"/>
            <w:tcBorders>
              <w:top w:val="single" w:sz="4" w:space="0" w:color="auto"/>
              <w:left w:val="nil"/>
              <w:bottom w:val="single" w:sz="4" w:space="0" w:color="auto"/>
              <w:right w:val="nil"/>
            </w:tcBorders>
            <w:noWrap/>
            <w:vAlign w:val="center"/>
            <w:hideMark/>
          </w:tcPr>
          <w:p w14:paraId="6F25EB19" w14:textId="77777777" w:rsidR="003342B5" w:rsidRPr="003342B5" w:rsidRDefault="003342B5" w:rsidP="003342B5">
            <w:pPr>
              <w:spacing w:after="0" w:line="240" w:lineRule="auto"/>
              <w:jc w:val="center"/>
              <w:rPr>
                <w:rFonts w:ascii="Arial" w:eastAsia="Times New Roman" w:hAnsi="Arial" w:cs="Arial"/>
                <w:b/>
                <w:bCs/>
                <w:color w:val="000000"/>
                <w:kern w:val="0"/>
                <w:sz w:val="20"/>
                <w:szCs w:val="20"/>
                <w:lang w:eastAsia="en-GB"/>
                <w14:ligatures w14:val="none"/>
              </w:rPr>
            </w:pPr>
            <w:r w:rsidRPr="003342B5">
              <w:rPr>
                <w:rFonts w:ascii="Arial" w:eastAsia="Times New Roman" w:hAnsi="Arial" w:cs="Arial"/>
                <w:b/>
                <w:bCs/>
                <w:color w:val="000000"/>
                <w:kern w:val="0"/>
                <w:sz w:val="20"/>
                <w:szCs w:val="20"/>
                <w:lang w:eastAsia="en-GB"/>
                <w14:ligatures w14:val="none"/>
              </w:rPr>
              <w:t>p value</w:t>
            </w:r>
          </w:p>
        </w:tc>
      </w:tr>
      <w:tr w:rsidR="003342B5" w:rsidRPr="003342B5" w14:paraId="1845EC61" w14:textId="77777777" w:rsidTr="001C1680">
        <w:trPr>
          <w:trHeight w:val="50"/>
          <w:jc w:val="center"/>
        </w:trPr>
        <w:tc>
          <w:tcPr>
            <w:tcW w:w="4708" w:type="dxa"/>
            <w:tcBorders>
              <w:top w:val="nil"/>
              <w:left w:val="nil"/>
              <w:bottom w:val="nil"/>
              <w:right w:val="nil"/>
            </w:tcBorders>
            <w:noWrap/>
            <w:vAlign w:val="center"/>
            <w:hideMark/>
          </w:tcPr>
          <w:p w14:paraId="03C8F3E9" w14:textId="77777777" w:rsidR="003342B5" w:rsidRPr="003342B5" w:rsidRDefault="003342B5" w:rsidP="003342B5">
            <w:pPr>
              <w:spacing w:after="0" w:line="240" w:lineRule="auto"/>
              <w:rPr>
                <w:rFonts w:ascii="Arial" w:eastAsia="Times New Roman" w:hAnsi="Arial" w:cs="Arial"/>
                <w:color w:val="000000"/>
                <w:kern w:val="0"/>
                <w:sz w:val="20"/>
                <w:szCs w:val="20"/>
                <w:lang w:eastAsia="en-GB"/>
                <w14:ligatures w14:val="none"/>
              </w:rPr>
            </w:pPr>
            <w:r w:rsidRPr="003342B5">
              <w:rPr>
                <w:rFonts w:ascii="Arial" w:eastAsia="Times New Roman" w:hAnsi="Arial" w:cs="Arial"/>
                <w:color w:val="000000"/>
                <w:kern w:val="0"/>
                <w:sz w:val="20"/>
                <w:szCs w:val="20"/>
                <w:lang w:eastAsia="en-GB"/>
                <w14:ligatures w14:val="none"/>
              </w:rPr>
              <w:t>Age (per year)</w:t>
            </w:r>
          </w:p>
        </w:tc>
        <w:tc>
          <w:tcPr>
            <w:tcW w:w="960" w:type="dxa"/>
            <w:tcBorders>
              <w:top w:val="nil"/>
              <w:left w:val="nil"/>
              <w:bottom w:val="nil"/>
              <w:right w:val="nil"/>
            </w:tcBorders>
            <w:noWrap/>
            <w:vAlign w:val="center"/>
            <w:hideMark/>
          </w:tcPr>
          <w:p w14:paraId="4F41DEE7" w14:textId="77777777" w:rsidR="003342B5" w:rsidRPr="003342B5" w:rsidRDefault="003342B5" w:rsidP="001C1680">
            <w:pPr>
              <w:spacing w:after="0" w:line="240" w:lineRule="auto"/>
              <w:jc w:val="center"/>
              <w:rPr>
                <w:rFonts w:ascii="Arial" w:eastAsia="Times New Roman" w:hAnsi="Arial" w:cs="Arial"/>
                <w:color w:val="000000"/>
                <w:kern w:val="0"/>
                <w:sz w:val="20"/>
                <w:szCs w:val="20"/>
                <w:lang w:eastAsia="en-GB"/>
                <w14:ligatures w14:val="none"/>
              </w:rPr>
            </w:pPr>
            <w:r w:rsidRPr="003342B5">
              <w:rPr>
                <w:rFonts w:ascii="Arial" w:eastAsia="Times New Roman" w:hAnsi="Arial" w:cs="Arial"/>
                <w:color w:val="000000"/>
                <w:kern w:val="0"/>
                <w:sz w:val="20"/>
                <w:szCs w:val="20"/>
                <w:lang w:eastAsia="en-GB"/>
                <w14:ligatures w14:val="none"/>
              </w:rPr>
              <w:t>1.12</w:t>
            </w:r>
          </w:p>
        </w:tc>
        <w:tc>
          <w:tcPr>
            <w:tcW w:w="1662" w:type="dxa"/>
            <w:tcBorders>
              <w:top w:val="nil"/>
              <w:left w:val="nil"/>
              <w:bottom w:val="nil"/>
              <w:right w:val="nil"/>
            </w:tcBorders>
            <w:noWrap/>
            <w:vAlign w:val="center"/>
            <w:hideMark/>
          </w:tcPr>
          <w:p w14:paraId="2D1112AB" w14:textId="77777777" w:rsidR="003342B5" w:rsidRPr="003342B5" w:rsidRDefault="003342B5" w:rsidP="001C1680">
            <w:pPr>
              <w:spacing w:after="0" w:line="240" w:lineRule="auto"/>
              <w:jc w:val="center"/>
              <w:rPr>
                <w:rFonts w:ascii="Arial" w:eastAsia="Times New Roman" w:hAnsi="Arial" w:cs="Arial"/>
                <w:color w:val="000000"/>
                <w:kern w:val="0"/>
                <w:sz w:val="20"/>
                <w:szCs w:val="20"/>
                <w:lang w:eastAsia="en-GB"/>
                <w14:ligatures w14:val="none"/>
              </w:rPr>
            </w:pPr>
            <w:r w:rsidRPr="003342B5">
              <w:rPr>
                <w:rFonts w:ascii="Arial" w:eastAsia="Times New Roman" w:hAnsi="Arial" w:cs="Arial"/>
                <w:color w:val="000000"/>
                <w:kern w:val="0"/>
                <w:sz w:val="20"/>
                <w:szCs w:val="20"/>
                <w:lang w:eastAsia="en-GB"/>
                <w14:ligatures w14:val="none"/>
              </w:rPr>
              <w:t>1.02–1.23</w:t>
            </w:r>
          </w:p>
        </w:tc>
        <w:tc>
          <w:tcPr>
            <w:tcW w:w="960" w:type="dxa"/>
            <w:tcBorders>
              <w:top w:val="nil"/>
              <w:left w:val="nil"/>
              <w:bottom w:val="nil"/>
              <w:right w:val="nil"/>
            </w:tcBorders>
            <w:noWrap/>
            <w:vAlign w:val="center"/>
            <w:hideMark/>
          </w:tcPr>
          <w:p w14:paraId="0306004B" w14:textId="77777777" w:rsidR="003342B5" w:rsidRPr="003342B5" w:rsidRDefault="003342B5" w:rsidP="001C1680">
            <w:pPr>
              <w:spacing w:after="0" w:line="240" w:lineRule="auto"/>
              <w:jc w:val="center"/>
              <w:rPr>
                <w:rFonts w:ascii="Arial" w:eastAsia="Times New Roman" w:hAnsi="Arial" w:cs="Arial"/>
                <w:color w:val="000000"/>
                <w:kern w:val="0"/>
                <w:sz w:val="20"/>
                <w:szCs w:val="20"/>
                <w:lang w:eastAsia="en-GB"/>
                <w14:ligatures w14:val="none"/>
              </w:rPr>
            </w:pPr>
            <w:r w:rsidRPr="003342B5">
              <w:rPr>
                <w:rFonts w:ascii="Arial" w:eastAsia="Times New Roman" w:hAnsi="Arial" w:cs="Arial"/>
                <w:color w:val="000000"/>
                <w:kern w:val="0"/>
                <w:sz w:val="20"/>
                <w:szCs w:val="20"/>
                <w:lang w:eastAsia="en-GB"/>
                <w14:ligatures w14:val="none"/>
              </w:rPr>
              <w:t>0.018</w:t>
            </w:r>
          </w:p>
        </w:tc>
      </w:tr>
      <w:tr w:rsidR="003342B5" w:rsidRPr="003342B5" w14:paraId="56FAB1F3" w14:textId="77777777" w:rsidTr="001C1680">
        <w:trPr>
          <w:trHeight w:val="60"/>
          <w:jc w:val="center"/>
        </w:trPr>
        <w:tc>
          <w:tcPr>
            <w:tcW w:w="4708" w:type="dxa"/>
            <w:tcBorders>
              <w:top w:val="nil"/>
              <w:left w:val="nil"/>
              <w:bottom w:val="nil"/>
              <w:right w:val="nil"/>
            </w:tcBorders>
            <w:noWrap/>
            <w:vAlign w:val="center"/>
            <w:hideMark/>
          </w:tcPr>
          <w:p w14:paraId="4D8A0262" w14:textId="77777777" w:rsidR="003342B5" w:rsidRPr="003342B5" w:rsidRDefault="003342B5" w:rsidP="003342B5">
            <w:pPr>
              <w:spacing w:after="0" w:line="240" w:lineRule="auto"/>
              <w:rPr>
                <w:rFonts w:ascii="Arial" w:eastAsia="Times New Roman" w:hAnsi="Arial" w:cs="Arial"/>
                <w:color w:val="000000"/>
                <w:kern w:val="0"/>
                <w:sz w:val="20"/>
                <w:szCs w:val="20"/>
                <w:lang w:eastAsia="en-GB"/>
                <w14:ligatures w14:val="none"/>
              </w:rPr>
            </w:pPr>
            <w:r w:rsidRPr="003342B5">
              <w:rPr>
                <w:rFonts w:ascii="Arial" w:eastAsia="Times New Roman" w:hAnsi="Arial" w:cs="Arial"/>
                <w:color w:val="000000"/>
                <w:kern w:val="0"/>
                <w:sz w:val="20"/>
                <w:szCs w:val="20"/>
                <w:lang w:eastAsia="en-GB"/>
                <w14:ligatures w14:val="none"/>
              </w:rPr>
              <w:t>Infraspinatus fatty infiltration grade 2 (vs 0–1)</w:t>
            </w:r>
          </w:p>
        </w:tc>
        <w:tc>
          <w:tcPr>
            <w:tcW w:w="960" w:type="dxa"/>
            <w:tcBorders>
              <w:top w:val="nil"/>
              <w:left w:val="nil"/>
              <w:bottom w:val="nil"/>
              <w:right w:val="nil"/>
            </w:tcBorders>
            <w:noWrap/>
            <w:vAlign w:val="center"/>
            <w:hideMark/>
          </w:tcPr>
          <w:p w14:paraId="428A3C79" w14:textId="77777777" w:rsidR="003342B5" w:rsidRPr="003342B5" w:rsidRDefault="003342B5" w:rsidP="001C1680">
            <w:pPr>
              <w:spacing w:after="0" w:line="240" w:lineRule="auto"/>
              <w:jc w:val="center"/>
              <w:rPr>
                <w:rFonts w:ascii="Arial" w:eastAsia="Times New Roman" w:hAnsi="Arial" w:cs="Arial"/>
                <w:color w:val="000000"/>
                <w:kern w:val="0"/>
                <w:sz w:val="20"/>
                <w:szCs w:val="20"/>
                <w:lang w:eastAsia="en-GB"/>
                <w14:ligatures w14:val="none"/>
              </w:rPr>
            </w:pPr>
            <w:r w:rsidRPr="003342B5">
              <w:rPr>
                <w:rFonts w:ascii="Arial" w:eastAsia="Times New Roman" w:hAnsi="Arial" w:cs="Arial"/>
                <w:color w:val="000000"/>
                <w:kern w:val="0"/>
                <w:sz w:val="20"/>
                <w:szCs w:val="20"/>
                <w:lang w:eastAsia="en-GB"/>
                <w14:ligatures w14:val="none"/>
              </w:rPr>
              <w:t>10.2</w:t>
            </w:r>
          </w:p>
        </w:tc>
        <w:tc>
          <w:tcPr>
            <w:tcW w:w="1662" w:type="dxa"/>
            <w:tcBorders>
              <w:top w:val="nil"/>
              <w:left w:val="nil"/>
              <w:bottom w:val="nil"/>
              <w:right w:val="nil"/>
            </w:tcBorders>
            <w:noWrap/>
            <w:vAlign w:val="center"/>
            <w:hideMark/>
          </w:tcPr>
          <w:p w14:paraId="4C3EC3C0" w14:textId="77777777" w:rsidR="003342B5" w:rsidRPr="003342B5" w:rsidRDefault="003342B5" w:rsidP="001C1680">
            <w:pPr>
              <w:spacing w:after="0" w:line="240" w:lineRule="auto"/>
              <w:jc w:val="center"/>
              <w:rPr>
                <w:rFonts w:ascii="Arial" w:eastAsia="Times New Roman" w:hAnsi="Arial" w:cs="Arial"/>
                <w:color w:val="000000"/>
                <w:kern w:val="0"/>
                <w:sz w:val="20"/>
                <w:szCs w:val="20"/>
                <w:lang w:eastAsia="en-GB"/>
                <w14:ligatures w14:val="none"/>
              </w:rPr>
            </w:pPr>
            <w:r w:rsidRPr="003342B5">
              <w:rPr>
                <w:rFonts w:ascii="Arial" w:eastAsia="Times New Roman" w:hAnsi="Arial" w:cs="Arial"/>
                <w:color w:val="000000"/>
                <w:kern w:val="0"/>
                <w:sz w:val="20"/>
                <w:szCs w:val="20"/>
                <w:lang w:eastAsia="en-GB"/>
                <w14:ligatures w14:val="none"/>
              </w:rPr>
              <w:t>2.00–53.27</w:t>
            </w:r>
          </w:p>
        </w:tc>
        <w:tc>
          <w:tcPr>
            <w:tcW w:w="960" w:type="dxa"/>
            <w:tcBorders>
              <w:top w:val="nil"/>
              <w:left w:val="nil"/>
              <w:bottom w:val="nil"/>
              <w:right w:val="nil"/>
            </w:tcBorders>
            <w:noWrap/>
            <w:vAlign w:val="center"/>
            <w:hideMark/>
          </w:tcPr>
          <w:p w14:paraId="1EE875C4" w14:textId="77777777" w:rsidR="003342B5" w:rsidRPr="003342B5" w:rsidRDefault="003342B5" w:rsidP="001C1680">
            <w:pPr>
              <w:spacing w:after="0" w:line="240" w:lineRule="auto"/>
              <w:jc w:val="center"/>
              <w:rPr>
                <w:rFonts w:ascii="Arial" w:eastAsia="Times New Roman" w:hAnsi="Arial" w:cs="Arial"/>
                <w:color w:val="000000"/>
                <w:kern w:val="0"/>
                <w:sz w:val="20"/>
                <w:szCs w:val="20"/>
                <w:lang w:eastAsia="en-GB"/>
                <w14:ligatures w14:val="none"/>
              </w:rPr>
            </w:pPr>
            <w:r w:rsidRPr="003342B5">
              <w:rPr>
                <w:rFonts w:ascii="Arial" w:eastAsia="Times New Roman" w:hAnsi="Arial" w:cs="Arial"/>
                <w:color w:val="000000"/>
                <w:kern w:val="0"/>
                <w:sz w:val="20"/>
                <w:szCs w:val="20"/>
                <w:lang w:eastAsia="en-GB"/>
                <w14:ligatures w14:val="none"/>
              </w:rPr>
              <w:t>0.005</w:t>
            </w:r>
          </w:p>
        </w:tc>
      </w:tr>
      <w:tr w:rsidR="003342B5" w:rsidRPr="003342B5" w14:paraId="37700B4B" w14:textId="77777777" w:rsidTr="001C1680">
        <w:trPr>
          <w:trHeight w:val="60"/>
          <w:jc w:val="center"/>
        </w:trPr>
        <w:tc>
          <w:tcPr>
            <w:tcW w:w="4708" w:type="dxa"/>
            <w:tcBorders>
              <w:top w:val="nil"/>
              <w:left w:val="nil"/>
              <w:bottom w:val="nil"/>
              <w:right w:val="nil"/>
            </w:tcBorders>
            <w:noWrap/>
            <w:vAlign w:val="center"/>
            <w:hideMark/>
          </w:tcPr>
          <w:p w14:paraId="6A8997A2" w14:textId="77777777" w:rsidR="003342B5" w:rsidRPr="003342B5" w:rsidRDefault="003342B5" w:rsidP="003342B5">
            <w:pPr>
              <w:spacing w:after="0" w:line="240" w:lineRule="auto"/>
              <w:rPr>
                <w:rFonts w:ascii="Arial" w:eastAsia="Times New Roman" w:hAnsi="Arial" w:cs="Arial"/>
                <w:color w:val="000000"/>
                <w:kern w:val="0"/>
                <w:sz w:val="20"/>
                <w:szCs w:val="20"/>
                <w:lang w:eastAsia="en-GB"/>
                <w14:ligatures w14:val="none"/>
              </w:rPr>
            </w:pPr>
            <w:r w:rsidRPr="003342B5">
              <w:rPr>
                <w:rFonts w:ascii="Arial" w:eastAsia="Times New Roman" w:hAnsi="Arial" w:cs="Arial"/>
                <w:color w:val="000000"/>
                <w:kern w:val="0"/>
                <w:sz w:val="20"/>
                <w:szCs w:val="20"/>
                <w:lang w:eastAsia="en-GB"/>
                <w14:ligatures w14:val="none"/>
              </w:rPr>
              <w:t>Supraspinatus occupation ratio (per 1% increase)</w:t>
            </w:r>
          </w:p>
        </w:tc>
        <w:tc>
          <w:tcPr>
            <w:tcW w:w="960" w:type="dxa"/>
            <w:tcBorders>
              <w:top w:val="nil"/>
              <w:left w:val="nil"/>
              <w:bottom w:val="nil"/>
              <w:right w:val="nil"/>
            </w:tcBorders>
            <w:noWrap/>
            <w:vAlign w:val="center"/>
            <w:hideMark/>
          </w:tcPr>
          <w:p w14:paraId="3B8B1252" w14:textId="77777777" w:rsidR="003342B5" w:rsidRPr="003342B5" w:rsidRDefault="003342B5" w:rsidP="001C1680">
            <w:pPr>
              <w:spacing w:after="0" w:line="240" w:lineRule="auto"/>
              <w:jc w:val="center"/>
              <w:rPr>
                <w:rFonts w:ascii="Arial" w:eastAsia="Times New Roman" w:hAnsi="Arial" w:cs="Arial"/>
                <w:color w:val="000000"/>
                <w:kern w:val="0"/>
                <w:sz w:val="20"/>
                <w:szCs w:val="20"/>
                <w:lang w:eastAsia="en-GB"/>
                <w14:ligatures w14:val="none"/>
              </w:rPr>
            </w:pPr>
            <w:r w:rsidRPr="003342B5">
              <w:rPr>
                <w:rFonts w:ascii="Arial" w:eastAsia="Times New Roman" w:hAnsi="Arial" w:cs="Arial"/>
                <w:color w:val="000000"/>
                <w:kern w:val="0"/>
                <w:sz w:val="20"/>
                <w:szCs w:val="20"/>
                <w:lang w:eastAsia="en-GB"/>
                <w14:ligatures w14:val="none"/>
              </w:rPr>
              <w:t>0.63</w:t>
            </w:r>
          </w:p>
        </w:tc>
        <w:tc>
          <w:tcPr>
            <w:tcW w:w="1662" w:type="dxa"/>
            <w:tcBorders>
              <w:top w:val="nil"/>
              <w:left w:val="nil"/>
              <w:bottom w:val="nil"/>
              <w:right w:val="nil"/>
            </w:tcBorders>
            <w:noWrap/>
            <w:vAlign w:val="center"/>
            <w:hideMark/>
          </w:tcPr>
          <w:p w14:paraId="614A9FEA" w14:textId="77777777" w:rsidR="003342B5" w:rsidRPr="003342B5" w:rsidRDefault="003342B5" w:rsidP="001C1680">
            <w:pPr>
              <w:spacing w:after="0" w:line="240" w:lineRule="auto"/>
              <w:jc w:val="center"/>
              <w:rPr>
                <w:rFonts w:ascii="Arial" w:eastAsia="Times New Roman" w:hAnsi="Arial" w:cs="Arial"/>
                <w:color w:val="000000"/>
                <w:kern w:val="0"/>
                <w:sz w:val="20"/>
                <w:szCs w:val="20"/>
                <w:lang w:eastAsia="en-GB"/>
                <w14:ligatures w14:val="none"/>
              </w:rPr>
            </w:pPr>
            <w:r w:rsidRPr="003342B5">
              <w:rPr>
                <w:rFonts w:ascii="Arial" w:eastAsia="Times New Roman" w:hAnsi="Arial" w:cs="Arial"/>
                <w:color w:val="000000"/>
                <w:kern w:val="0"/>
                <w:sz w:val="20"/>
                <w:szCs w:val="20"/>
                <w:lang w:eastAsia="en-GB"/>
                <w14:ligatures w14:val="none"/>
              </w:rPr>
              <w:t>0.49–0.81</w:t>
            </w:r>
          </w:p>
        </w:tc>
        <w:tc>
          <w:tcPr>
            <w:tcW w:w="960" w:type="dxa"/>
            <w:tcBorders>
              <w:top w:val="nil"/>
              <w:left w:val="nil"/>
              <w:bottom w:val="nil"/>
              <w:right w:val="nil"/>
            </w:tcBorders>
            <w:noWrap/>
            <w:vAlign w:val="center"/>
            <w:hideMark/>
          </w:tcPr>
          <w:p w14:paraId="06E5C2D5" w14:textId="77777777" w:rsidR="003342B5" w:rsidRPr="003342B5" w:rsidRDefault="003342B5" w:rsidP="001C1680">
            <w:pPr>
              <w:spacing w:after="0" w:line="240" w:lineRule="auto"/>
              <w:jc w:val="center"/>
              <w:rPr>
                <w:rFonts w:ascii="Arial" w:eastAsia="Times New Roman" w:hAnsi="Arial" w:cs="Arial"/>
                <w:color w:val="000000"/>
                <w:kern w:val="0"/>
                <w:sz w:val="20"/>
                <w:szCs w:val="20"/>
                <w:lang w:eastAsia="en-GB"/>
                <w14:ligatures w14:val="none"/>
              </w:rPr>
            </w:pPr>
            <w:r w:rsidRPr="003342B5">
              <w:rPr>
                <w:rFonts w:ascii="Arial" w:eastAsia="Times New Roman" w:hAnsi="Arial" w:cs="Arial"/>
                <w:color w:val="000000"/>
                <w:kern w:val="0"/>
                <w:sz w:val="20"/>
                <w:szCs w:val="20"/>
                <w:lang w:eastAsia="en-GB"/>
                <w14:ligatures w14:val="none"/>
              </w:rPr>
              <w:t>&lt;0.001</w:t>
            </w:r>
          </w:p>
        </w:tc>
      </w:tr>
      <w:tr w:rsidR="003342B5" w:rsidRPr="003342B5" w14:paraId="51F35D8E" w14:textId="77777777" w:rsidTr="001C1680">
        <w:trPr>
          <w:trHeight w:val="60"/>
          <w:jc w:val="center"/>
        </w:trPr>
        <w:tc>
          <w:tcPr>
            <w:tcW w:w="4708" w:type="dxa"/>
            <w:tcBorders>
              <w:top w:val="nil"/>
              <w:left w:val="nil"/>
              <w:bottom w:val="nil"/>
              <w:right w:val="nil"/>
            </w:tcBorders>
            <w:noWrap/>
            <w:vAlign w:val="center"/>
            <w:hideMark/>
          </w:tcPr>
          <w:p w14:paraId="606E12A3" w14:textId="77777777" w:rsidR="003342B5" w:rsidRPr="003342B5" w:rsidRDefault="003342B5" w:rsidP="003342B5">
            <w:pPr>
              <w:spacing w:after="0" w:line="240" w:lineRule="auto"/>
              <w:rPr>
                <w:rFonts w:ascii="Arial" w:eastAsia="Times New Roman" w:hAnsi="Arial" w:cs="Arial"/>
                <w:color w:val="000000"/>
                <w:kern w:val="0"/>
                <w:sz w:val="20"/>
                <w:szCs w:val="20"/>
                <w:lang w:eastAsia="en-GB"/>
                <w14:ligatures w14:val="none"/>
              </w:rPr>
            </w:pPr>
            <w:r w:rsidRPr="003342B5">
              <w:rPr>
                <w:rFonts w:ascii="Arial" w:eastAsia="Times New Roman" w:hAnsi="Arial" w:cs="Arial"/>
                <w:color w:val="000000"/>
                <w:kern w:val="0"/>
                <w:sz w:val="20"/>
                <w:szCs w:val="20"/>
                <w:lang w:eastAsia="en-GB"/>
                <w14:ligatures w14:val="none"/>
              </w:rPr>
              <w:t>Infraspinatus occupation ratio (per 1% increase)</w:t>
            </w:r>
          </w:p>
        </w:tc>
        <w:tc>
          <w:tcPr>
            <w:tcW w:w="960" w:type="dxa"/>
            <w:tcBorders>
              <w:top w:val="nil"/>
              <w:left w:val="nil"/>
              <w:bottom w:val="nil"/>
              <w:right w:val="nil"/>
            </w:tcBorders>
            <w:noWrap/>
            <w:vAlign w:val="center"/>
            <w:hideMark/>
          </w:tcPr>
          <w:p w14:paraId="79CDE19C" w14:textId="77777777" w:rsidR="003342B5" w:rsidRPr="003342B5" w:rsidRDefault="003342B5" w:rsidP="001C1680">
            <w:pPr>
              <w:spacing w:after="0" w:line="240" w:lineRule="auto"/>
              <w:jc w:val="center"/>
              <w:rPr>
                <w:rFonts w:ascii="Arial" w:eastAsia="Times New Roman" w:hAnsi="Arial" w:cs="Arial"/>
                <w:color w:val="000000"/>
                <w:kern w:val="0"/>
                <w:sz w:val="20"/>
                <w:szCs w:val="20"/>
                <w:lang w:eastAsia="en-GB"/>
                <w14:ligatures w14:val="none"/>
              </w:rPr>
            </w:pPr>
            <w:r w:rsidRPr="003342B5">
              <w:rPr>
                <w:rFonts w:ascii="Arial" w:eastAsia="Times New Roman" w:hAnsi="Arial" w:cs="Arial"/>
                <w:color w:val="000000"/>
                <w:kern w:val="0"/>
                <w:sz w:val="20"/>
                <w:szCs w:val="20"/>
                <w:lang w:eastAsia="en-GB"/>
                <w14:ligatures w14:val="none"/>
              </w:rPr>
              <w:t>0.78</w:t>
            </w:r>
          </w:p>
        </w:tc>
        <w:tc>
          <w:tcPr>
            <w:tcW w:w="1662" w:type="dxa"/>
            <w:tcBorders>
              <w:top w:val="nil"/>
              <w:left w:val="nil"/>
              <w:bottom w:val="nil"/>
              <w:right w:val="nil"/>
            </w:tcBorders>
            <w:noWrap/>
            <w:vAlign w:val="center"/>
            <w:hideMark/>
          </w:tcPr>
          <w:p w14:paraId="6A551B2D" w14:textId="77777777" w:rsidR="003342B5" w:rsidRPr="003342B5" w:rsidRDefault="003342B5" w:rsidP="001C1680">
            <w:pPr>
              <w:spacing w:after="0" w:line="240" w:lineRule="auto"/>
              <w:jc w:val="center"/>
              <w:rPr>
                <w:rFonts w:ascii="Arial" w:eastAsia="Times New Roman" w:hAnsi="Arial" w:cs="Arial"/>
                <w:color w:val="000000"/>
                <w:kern w:val="0"/>
                <w:sz w:val="20"/>
                <w:szCs w:val="20"/>
                <w:lang w:eastAsia="en-GB"/>
                <w14:ligatures w14:val="none"/>
              </w:rPr>
            </w:pPr>
            <w:r w:rsidRPr="003342B5">
              <w:rPr>
                <w:rFonts w:ascii="Arial" w:eastAsia="Times New Roman" w:hAnsi="Arial" w:cs="Arial"/>
                <w:color w:val="000000"/>
                <w:kern w:val="0"/>
                <w:sz w:val="20"/>
                <w:szCs w:val="20"/>
                <w:lang w:eastAsia="en-GB"/>
                <w14:ligatures w14:val="none"/>
              </w:rPr>
              <w:t>0.69–0.88</w:t>
            </w:r>
          </w:p>
        </w:tc>
        <w:tc>
          <w:tcPr>
            <w:tcW w:w="960" w:type="dxa"/>
            <w:tcBorders>
              <w:top w:val="nil"/>
              <w:left w:val="nil"/>
              <w:bottom w:val="nil"/>
              <w:right w:val="nil"/>
            </w:tcBorders>
            <w:noWrap/>
            <w:vAlign w:val="center"/>
            <w:hideMark/>
          </w:tcPr>
          <w:p w14:paraId="5E0070C7" w14:textId="77777777" w:rsidR="003342B5" w:rsidRPr="003342B5" w:rsidRDefault="003342B5" w:rsidP="001C1680">
            <w:pPr>
              <w:spacing w:after="0" w:line="240" w:lineRule="auto"/>
              <w:jc w:val="center"/>
              <w:rPr>
                <w:rFonts w:ascii="Arial" w:eastAsia="Times New Roman" w:hAnsi="Arial" w:cs="Arial"/>
                <w:color w:val="000000"/>
                <w:kern w:val="0"/>
                <w:sz w:val="20"/>
                <w:szCs w:val="20"/>
                <w:lang w:eastAsia="en-GB"/>
                <w14:ligatures w14:val="none"/>
              </w:rPr>
            </w:pPr>
            <w:r w:rsidRPr="003342B5">
              <w:rPr>
                <w:rFonts w:ascii="Arial" w:eastAsia="Times New Roman" w:hAnsi="Arial" w:cs="Arial"/>
                <w:color w:val="000000"/>
                <w:kern w:val="0"/>
                <w:sz w:val="20"/>
                <w:szCs w:val="20"/>
                <w:lang w:eastAsia="en-GB"/>
                <w14:ligatures w14:val="none"/>
              </w:rPr>
              <w:t>&lt;0.001</w:t>
            </w:r>
          </w:p>
        </w:tc>
      </w:tr>
      <w:tr w:rsidR="003342B5" w:rsidRPr="003342B5" w14:paraId="162EF6BF" w14:textId="77777777" w:rsidTr="001C1680">
        <w:trPr>
          <w:trHeight w:val="60"/>
          <w:jc w:val="center"/>
        </w:trPr>
        <w:tc>
          <w:tcPr>
            <w:tcW w:w="4708" w:type="dxa"/>
            <w:tcBorders>
              <w:top w:val="nil"/>
              <w:left w:val="nil"/>
              <w:bottom w:val="nil"/>
              <w:right w:val="nil"/>
            </w:tcBorders>
            <w:noWrap/>
            <w:vAlign w:val="center"/>
            <w:hideMark/>
          </w:tcPr>
          <w:p w14:paraId="0058F392" w14:textId="77777777" w:rsidR="003342B5" w:rsidRPr="003342B5" w:rsidRDefault="003342B5" w:rsidP="003342B5">
            <w:pPr>
              <w:spacing w:after="0" w:line="240" w:lineRule="auto"/>
              <w:rPr>
                <w:rFonts w:ascii="Arial" w:eastAsia="Times New Roman" w:hAnsi="Arial" w:cs="Arial"/>
                <w:color w:val="000000"/>
                <w:kern w:val="0"/>
                <w:sz w:val="20"/>
                <w:szCs w:val="20"/>
                <w:lang w:eastAsia="en-GB"/>
                <w14:ligatures w14:val="none"/>
              </w:rPr>
            </w:pPr>
            <w:r w:rsidRPr="003342B5">
              <w:rPr>
                <w:rFonts w:ascii="Arial" w:eastAsia="Times New Roman" w:hAnsi="Arial" w:cs="Arial"/>
                <w:color w:val="000000"/>
                <w:kern w:val="0"/>
                <w:sz w:val="20"/>
                <w:szCs w:val="20"/>
                <w:lang w:eastAsia="en-GB"/>
                <w14:ligatures w14:val="none"/>
              </w:rPr>
              <w:t>Acromiohumeral distance (per mm)</w:t>
            </w:r>
          </w:p>
        </w:tc>
        <w:tc>
          <w:tcPr>
            <w:tcW w:w="960" w:type="dxa"/>
            <w:tcBorders>
              <w:top w:val="nil"/>
              <w:left w:val="nil"/>
              <w:bottom w:val="nil"/>
              <w:right w:val="nil"/>
            </w:tcBorders>
            <w:noWrap/>
            <w:vAlign w:val="center"/>
            <w:hideMark/>
          </w:tcPr>
          <w:p w14:paraId="6F84D97D" w14:textId="77777777" w:rsidR="003342B5" w:rsidRPr="003342B5" w:rsidRDefault="003342B5" w:rsidP="001C1680">
            <w:pPr>
              <w:spacing w:after="0" w:line="240" w:lineRule="auto"/>
              <w:jc w:val="center"/>
              <w:rPr>
                <w:rFonts w:ascii="Arial" w:eastAsia="Times New Roman" w:hAnsi="Arial" w:cs="Arial"/>
                <w:color w:val="000000"/>
                <w:kern w:val="0"/>
                <w:sz w:val="20"/>
                <w:szCs w:val="20"/>
                <w:lang w:eastAsia="en-GB"/>
                <w14:ligatures w14:val="none"/>
              </w:rPr>
            </w:pPr>
            <w:r w:rsidRPr="003342B5">
              <w:rPr>
                <w:rFonts w:ascii="Arial" w:eastAsia="Times New Roman" w:hAnsi="Arial" w:cs="Arial"/>
                <w:color w:val="000000"/>
                <w:kern w:val="0"/>
                <w:sz w:val="20"/>
                <w:szCs w:val="20"/>
                <w:lang w:eastAsia="en-GB"/>
                <w14:ligatures w14:val="none"/>
              </w:rPr>
              <w:t>0.45</w:t>
            </w:r>
          </w:p>
        </w:tc>
        <w:tc>
          <w:tcPr>
            <w:tcW w:w="1662" w:type="dxa"/>
            <w:tcBorders>
              <w:top w:val="nil"/>
              <w:left w:val="nil"/>
              <w:bottom w:val="nil"/>
              <w:right w:val="nil"/>
            </w:tcBorders>
            <w:noWrap/>
            <w:vAlign w:val="center"/>
            <w:hideMark/>
          </w:tcPr>
          <w:p w14:paraId="56988C1E" w14:textId="77777777" w:rsidR="003342B5" w:rsidRPr="003342B5" w:rsidRDefault="003342B5" w:rsidP="001C1680">
            <w:pPr>
              <w:spacing w:after="0" w:line="240" w:lineRule="auto"/>
              <w:jc w:val="center"/>
              <w:rPr>
                <w:rFonts w:ascii="Arial" w:eastAsia="Times New Roman" w:hAnsi="Arial" w:cs="Arial"/>
                <w:color w:val="000000"/>
                <w:kern w:val="0"/>
                <w:sz w:val="20"/>
                <w:szCs w:val="20"/>
                <w:lang w:eastAsia="en-GB"/>
                <w14:ligatures w14:val="none"/>
              </w:rPr>
            </w:pPr>
            <w:r w:rsidRPr="003342B5">
              <w:rPr>
                <w:rFonts w:ascii="Arial" w:eastAsia="Times New Roman" w:hAnsi="Arial" w:cs="Arial"/>
                <w:color w:val="000000"/>
                <w:kern w:val="0"/>
                <w:sz w:val="20"/>
                <w:szCs w:val="20"/>
                <w:lang w:eastAsia="en-GB"/>
                <w14:ligatures w14:val="none"/>
              </w:rPr>
              <w:t>0.24–0.85</w:t>
            </w:r>
          </w:p>
        </w:tc>
        <w:tc>
          <w:tcPr>
            <w:tcW w:w="960" w:type="dxa"/>
            <w:tcBorders>
              <w:top w:val="nil"/>
              <w:left w:val="nil"/>
              <w:bottom w:val="nil"/>
              <w:right w:val="nil"/>
            </w:tcBorders>
            <w:noWrap/>
            <w:vAlign w:val="center"/>
            <w:hideMark/>
          </w:tcPr>
          <w:p w14:paraId="35443EEE" w14:textId="77777777" w:rsidR="003342B5" w:rsidRPr="003342B5" w:rsidRDefault="003342B5" w:rsidP="001C1680">
            <w:pPr>
              <w:spacing w:after="0" w:line="240" w:lineRule="auto"/>
              <w:jc w:val="center"/>
              <w:rPr>
                <w:rFonts w:ascii="Arial" w:eastAsia="Times New Roman" w:hAnsi="Arial" w:cs="Arial"/>
                <w:color w:val="000000"/>
                <w:kern w:val="0"/>
                <w:sz w:val="20"/>
                <w:szCs w:val="20"/>
                <w:lang w:eastAsia="en-GB"/>
                <w14:ligatures w14:val="none"/>
              </w:rPr>
            </w:pPr>
            <w:r w:rsidRPr="003342B5">
              <w:rPr>
                <w:rFonts w:ascii="Arial" w:eastAsia="Times New Roman" w:hAnsi="Arial" w:cs="Arial"/>
                <w:color w:val="000000"/>
                <w:kern w:val="0"/>
                <w:sz w:val="20"/>
                <w:szCs w:val="20"/>
                <w:lang w:eastAsia="en-GB"/>
                <w14:ligatures w14:val="none"/>
              </w:rPr>
              <w:t>0.013</w:t>
            </w:r>
          </w:p>
        </w:tc>
      </w:tr>
      <w:tr w:rsidR="003342B5" w:rsidRPr="003342B5" w14:paraId="2F8CD3B6" w14:textId="77777777" w:rsidTr="001C1680">
        <w:trPr>
          <w:trHeight w:val="60"/>
          <w:jc w:val="center"/>
        </w:trPr>
        <w:tc>
          <w:tcPr>
            <w:tcW w:w="4708" w:type="dxa"/>
            <w:tcBorders>
              <w:top w:val="nil"/>
              <w:left w:val="nil"/>
              <w:bottom w:val="single" w:sz="4" w:space="0" w:color="auto"/>
              <w:right w:val="nil"/>
            </w:tcBorders>
            <w:noWrap/>
            <w:vAlign w:val="center"/>
            <w:hideMark/>
          </w:tcPr>
          <w:p w14:paraId="22BCBF67" w14:textId="77777777" w:rsidR="003342B5" w:rsidRPr="003342B5" w:rsidRDefault="003342B5" w:rsidP="003342B5">
            <w:pPr>
              <w:spacing w:after="0" w:line="240" w:lineRule="auto"/>
              <w:rPr>
                <w:rFonts w:ascii="Arial" w:eastAsia="Times New Roman" w:hAnsi="Arial" w:cs="Arial"/>
                <w:color w:val="000000"/>
                <w:kern w:val="0"/>
                <w:sz w:val="20"/>
                <w:szCs w:val="20"/>
                <w:lang w:eastAsia="en-GB"/>
                <w14:ligatures w14:val="none"/>
              </w:rPr>
            </w:pPr>
            <w:proofErr w:type="spellStart"/>
            <w:r w:rsidRPr="003342B5">
              <w:rPr>
                <w:rFonts w:ascii="Arial" w:eastAsia="Times New Roman" w:hAnsi="Arial" w:cs="Arial"/>
                <w:color w:val="000000"/>
                <w:kern w:val="0"/>
                <w:sz w:val="20"/>
                <w:szCs w:val="20"/>
                <w:lang w:eastAsia="en-GB"/>
                <w14:ligatures w14:val="none"/>
              </w:rPr>
              <w:t>Inferoglenohumeral</w:t>
            </w:r>
            <w:proofErr w:type="spellEnd"/>
            <w:r w:rsidRPr="003342B5">
              <w:rPr>
                <w:rFonts w:ascii="Arial" w:eastAsia="Times New Roman" w:hAnsi="Arial" w:cs="Arial"/>
                <w:color w:val="000000"/>
                <w:kern w:val="0"/>
                <w:sz w:val="20"/>
                <w:szCs w:val="20"/>
                <w:lang w:eastAsia="en-GB"/>
                <w14:ligatures w14:val="none"/>
              </w:rPr>
              <w:t xml:space="preserve"> distance (per mm)</w:t>
            </w:r>
          </w:p>
        </w:tc>
        <w:tc>
          <w:tcPr>
            <w:tcW w:w="960" w:type="dxa"/>
            <w:tcBorders>
              <w:top w:val="nil"/>
              <w:left w:val="nil"/>
              <w:bottom w:val="single" w:sz="4" w:space="0" w:color="auto"/>
              <w:right w:val="nil"/>
            </w:tcBorders>
            <w:noWrap/>
            <w:vAlign w:val="center"/>
            <w:hideMark/>
          </w:tcPr>
          <w:p w14:paraId="3E0786DE" w14:textId="77777777" w:rsidR="003342B5" w:rsidRPr="003342B5" w:rsidRDefault="003342B5" w:rsidP="001C1680">
            <w:pPr>
              <w:spacing w:after="0" w:line="240" w:lineRule="auto"/>
              <w:jc w:val="center"/>
              <w:rPr>
                <w:rFonts w:ascii="Arial" w:eastAsia="Times New Roman" w:hAnsi="Arial" w:cs="Arial"/>
                <w:color w:val="000000"/>
                <w:kern w:val="0"/>
                <w:sz w:val="20"/>
                <w:szCs w:val="20"/>
                <w:lang w:eastAsia="en-GB"/>
                <w14:ligatures w14:val="none"/>
              </w:rPr>
            </w:pPr>
            <w:r w:rsidRPr="003342B5">
              <w:rPr>
                <w:rFonts w:ascii="Arial" w:eastAsia="Times New Roman" w:hAnsi="Arial" w:cs="Arial"/>
                <w:color w:val="000000"/>
                <w:kern w:val="0"/>
                <w:sz w:val="20"/>
                <w:szCs w:val="20"/>
                <w:lang w:eastAsia="en-GB"/>
                <w14:ligatures w14:val="none"/>
              </w:rPr>
              <w:t>902.97</w:t>
            </w:r>
          </w:p>
        </w:tc>
        <w:tc>
          <w:tcPr>
            <w:tcW w:w="1662" w:type="dxa"/>
            <w:tcBorders>
              <w:top w:val="nil"/>
              <w:left w:val="nil"/>
              <w:bottom w:val="single" w:sz="4" w:space="0" w:color="auto"/>
              <w:right w:val="nil"/>
            </w:tcBorders>
            <w:noWrap/>
            <w:vAlign w:val="center"/>
            <w:hideMark/>
          </w:tcPr>
          <w:p w14:paraId="41CDD22F" w14:textId="77777777" w:rsidR="003342B5" w:rsidRPr="003342B5" w:rsidRDefault="003342B5" w:rsidP="001C1680">
            <w:pPr>
              <w:spacing w:after="0" w:line="240" w:lineRule="auto"/>
              <w:jc w:val="center"/>
              <w:rPr>
                <w:rFonts w:ascii="Arial" w:eastAsia="Times New Roman" w:hAnsi="Arial" w:cs="Arial"/>
                <w:color w:val="000000"/>
                <w:kern w:val="0"/>
                <w:sz w:val="20"/>
                <w:szCs w:val="20"/>
                <w:lang w:eastAsia="en-GB"/>
                <w14:ligatures w14:val="none"/>
              </w:rPr>
            </w:pPr>
            <w:r w:rsidRPr="003342B5">
              <w:rPr>
                <w:rFonts w:ascii="Arial" w:eastAsia="Times New Roman" w:hAnsi="Arial" w:cs="Arial"/>
                <w:color w:val="000000"/>
                <w:kern w:val="0"/>
                <w:sz w:val="20"/>
                <w:szCs w:val="20"/>
                <w:lang w:eastAsia="en-GB"/>
                <w14:ligatures w14:val="none"/>
              </w:rPr>
              <w:t>2.67–304830.8</w:t>
            </w:r>
          </w:p>
        </w:tc>
        <w:tc>
          <w:tcPr>
            <w:tcW w:w="960" w:type="dxa"/>
            <w:tcBorders>
              <w:top w:val="nil"/>
              <w:left w:val="nil"/>
              <w:bottom w:val="single" w:sz="4" w:space="0" w:color="auto"/>
              <w:right w:val="nil"/>
            </w:tcBorders>
            <w:noWrap/>
            <w:vAlign w:val="center"/>
            <w:hideMark/>
          </w:tcPr>
          <w:p w14:paraId="10051F42" w14:textId="77777777" w:rsidR="003342B5" w:rsidRPr="003342B5" w:rsidRDefault="003342B5" w:rsidP="001C1680">
            <w:pPr>
              <w:spacing w:after="0" w:line="240" w:lineRule="auto"/>
              <w:jc w:val="center"/>
              <w:rPr>
                <w:rFonts w:ascii="Arial" w:eastAsia="Times New Roman" w:hAnsi="Arial" w:cs="Arial"/>
                <w:color w:val="000000"/>
                <w:kern w:val="0"/>
                <w:sz w:val="20"/>
                <w:szCs w:val="20"/>
                <w:lang w:eastAsia="en-GB"/>
                <w14:ligatures w14:val="none"/>
              </w:rPr>
            </w:pPr>
            <w:r w:rsidRPr="003342B5">
              <w:rPr>
                <w:rFonts w:ascii="Arial" w:eastAsia="Times New Roman" w:hAnsi="Arial" w:cs="Arial"/>
                <w:color w:val="000000"/>
                <w:kern w:val="0"/>
                <w:sz w:val="20"/>
                <w:szCs w:val="20"/>
                <w:lang w:eastAsia="en-GB"/>
                <w14:ligatures w14:val="none"/>
              </w:rPr>
              <w:t>0.022</w:t>
            </w:r>
          </w:p>
        </w:tc>
      </w:tr>
    </w:tbl>
    <w:p w14:paraId="328A37F2" w14:textId="77777777" w:rsidR="003B6DDC" w:rsidRDefault="003B6DDC" w:rsidP="00094BE8">
      <w:pPr>
        <w:pStyle w:val="NormalWeb"/>
        <w:spacing w:before="0" w:beforeAutospacing="0" w:after="0" w:afterAutospacing="0"/>
        <w:jc w:val="both"/>
        <w:rPr>
          <w:rFonts w:ascii="Arial" w:hAnsi="Arial" w:cs="Arial"/>
          <w:sz w:val="20"/>
          <w:szCs w:val="20"/>
        </w:rPr>
      </w:pPr>
    </w:p>
    <w:p w14:paraId="009F2CE3" w14:textId="77777777" w:rsidR="00C7093F" w:rsidRDefault="00C7093F" w:rsidP="00094BE8">
      <w:pPr>
        <w:pStyle w:val="NormalWeb"/>
        <w:spacing w:before="0" w:beforeAutospacing="0" w:after="0" w:afterAutospacing="0"/>
        <w:jc w:val="both"/>
        <w:rPr>
          <w:rFonts w:ascii="Arial" w:hAnsi="Arial" w:cs="Arial"/>
          <w:sz w:val="20"/>
          <w:szCs w:val="20"/>
        </w:rPr>
        <w:sectPr w:rsidR="00C7093F" w:rsidSect="00C7093F">
          <w:type w:val="continuous"/>
          <w:pgSz w:w="11906" w:h="16838"/>
          <w:pgMar w:top="1440" w:right="1440" w:bottom="1440" w:left="1440" w:header="720" w:footer="720" w:gutter="0"/>
          <w:cols w:space="720"/>
          <w:titlePg/>
          <w:docGrid w:linePitch="360"/>
        </w:sectPr>
      </w:pPr>
    </w:p>
    <w:p w14:paraId="17C29A90" w14:textId="1FB03E10" w:rsidR="001C1680" w:rsidRDefault="001C1680"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 xml:space="preserve">The final multivariate model (Table 4) showed that only the supraspinatus occupation ratio remained statistically significant (OR = 0.70 per </w:t>
      </w:r>
      <w:r w:rsidRPr="00094BE8">
        <w:rPr>
          <w:rFonts w:ascii="Arial" w:hAnsi="Arial" w:cs="Arial"/>
          <w:sz w:val="20"/>
          <w:szCs w:val="20"/>
        </w:rPr>
        <w:t>1% increase, 95% CI: 0.51–0.94, p = 0.018). Age, infraspinatus fatty infiltration, and AHD were not independent predictors in this model.</w:t>
      </w:r>
    </w:p>
    <w:p w14:paraId="7589C2A0" w14:textId="77777777" w:rsidR="00C7093F" w:rsidRDefault="00C7093F" w:rsidP="00094BE8">
      <w:pPr>
        <w:pStyle w:val="NormalWeb"/>
        <w:spacing w:before="0" w:beforeAutospacing="0" w:after="0" w:afterAutospacing="0"/>
        <w:jc w:val="both"/>
        <w:rPr>
          <w:rFonts w:ascii="Arial" w:hAnsi="Arial" w:cs="Arial"/>
          <w:sz w:val="20"/>
          <w:szCs w:val="20"/>
        </w:rPr>
        <w:sectPr w:rsidR="00C7093F" w:rsidSect="00C7093F">
          <w:type w:val="continuous"/>
          <w:pgSz w:w="11906" w:h="16838"/>
          <w:pgMar w:top="1440" w:right="1440" w:bottom="1440" w:left="1440" w:header="720" w:footer="720" w:gutter="0"/>
          <w:cols w:num="2" w:space="432"/>
          <w:titlePg/>
          <w:docGrid w:linePitch="360"/>
        </w:sectPr>
      </w:pPr>
    </w:p>
    <w:p w14:paraId="6F3FA23E" w14:textId="77777777" w:rsidR="001C1680" w:rsidRDefault="001C1680" w:rsidP="00094BE8">
      <w:pPr>
        <w:pStyle w:val="NormalWeb"/>
        <w:spacing w:before="0" w:beforeAutospacing="0" w:after="0" w:afterAutospacing="0"/>
        <w:jc w:val="both"/>
        <w:rPr>
          <w:rFonts w:ascii="Arial" w:hAnsi="Arial" w:cs="Arial"/>
          <w:sz w:val="20"/>
          <w:szCs w:val="20"/>
        </w:rPr>
      </w:pPr>
    </w:p>
    <w:p w14:paraId="6382B704" w14:textId="2E37464B" w:rsidR="00094BE8" w:rsidRPr="003B6DDC" w:rsidRDefault="00094BE8" w:rsidP="003B6DDC">
      <w:pPr>
        <w:pStyle w:val="NormalWeb"/>
        <w:spacing w:before="0" w:beforeAutospacing="0" w:after="0" w:afterAutospacing="0"/>
        <w:jc w:val="center"/>
        <w:rPr>
          <w:rFonts w:ascii="Arial" w:hAnsi="Arial" w:cs="Arial"/>
          <w:b/>
          <w:bCs/>
          <w:sz w:val="20"/>
          <w:szCs w:val="20"/>
        </w:rPr>
      </w:pPr>
      <w:r w:rsidRPr="003B6DDC">
        <w:rPr>
          <w:rFonts w:ascii="Arial" w:hAnsi="Arial" w:cs="Arial"/>
          <w:b/>
          <w:bCs/>
          <w:sz w:val="20"/>
          <w:szCs w:val="20"/>
        </w:rPr>
        <w:t>Table 4</w:t>
      </w:r>
      <w:r w:rsidR="00203192">
        <w:rPr>
          <w:rFonts w:ascii="Arial" w:hAnsi="Arial" w:cs="Arial"/>
          <w:b/>
          <w:bCs/>
          <w:sz w:val="20"/>
          <w:szCs w:val="20"/>
        </w:rPr>
        <w:t>:</w:t>
      </w:r>
      <w:r w:rsidRPr="003B6DDC">
        <w:rPr>
          <w:rFonts w:ascii="Arial" w:hAnsi="Arial" w:cs="Arial"/>
          <w:b/>
          <w:bCs/>
          <w:sz w:val="20"/>
          <w:szCs w:val="20"/>
        </w:rPr>
        <w:t xml:space="preserve"> Multivariate logistic regression (final model)</w:t>
      </w:r>
    </w:p>
    <w:tbl>
      <w:tblPr>
        <w:tblW w:w="7957" w:type="dxa"/>
        <w:jc w:val="center"/>
        <w:tblLook w:val="04A0" w:firstRow="1" w:lastRow="0" w:firstColumn="1" w:lastColumn="0" w:noHBand="0" w:noVBand="1"/>
      </w:tblPr>
      <w:tblGrid>
        <w:gridCol w:w="4708"/>
        <w:gridCol w:w="960"/>
        <w:gridCol w:w="1329"/>
        <w:gridCol w:w="960"/>
      </w:tblGrid>
      <w:tr w:rsidR="00481052" w:rsidRPr="00481052" w14:paraId="64DD786F" w14:textId="77777777" w:rsidTr="001C1680">
        <w:trPr>
          <w:trHeight w:val="50"/>
          <w:jc w:val="center"/>
        </w:trPr>
        <w:tc>
          <w:tcPr>
            <w:tcW w:w="4708" w:type="dxa"/>
            <w:tcBorders>
              <w:top w:val="single" w:sz="4" w:space="0" w:color="auto"/>
              <w:left w:val="nil"/>
              <w:bottom w:val="single" w:sz="4" w:space="0" w:color="auto"/>
              <w:right w:val="nil"/>
            </w:tcBorders>
            <w:noWrap/>
            <w:vAlign w:val="center"/>
            <w:hideMark/>
          </w:tcPr>
          <w:p w14:paraId="6578414D" w14:textId="77777777" w:rsidR="00481052" w:rsidRPr="00481052" w:rsidRDefault="00481052" w:rsidP="00481052">
            <w:pPr>
              <w:spacing w:after="0" w:line="240" w:lineRule="auto"/>
              <w:jc w:val="center"/>
              <w:rPr>
                <w:rFonts w:ascii="Arial" w:eastAsia="Times New Roman" w:hAnsi="Arial" w:cs="Arial"/>
                <w:b/>
                <w:bCs/>
                <w:color w:val="000000"/>
                <w:kern w:val="0"/>
                <w:sz w:val="20"/>
                <w:szCs w:val="20"/>
                <w:lang w:eastAsia="en-GB"/>
                <w14:ligatures w14:val="none"/>
              </w:rPr>
            </w:pPr>
            <w:r w:rsidRPr="00481052">
              <w:rPr>
                <w:rFonts w:ascii="Arial" w:eastAsia="Times New Roman" w:hAnsi="Arial" w:cs="Arial"/>
                <w:b/>
                <w:bCs/>
                <w:color w:val="000000"/>
                <w:kern w:val="0"/>
                <w:sz w:val="20"/>
                <w:szCs w:val="20"/>
                <w:lang w:eastAsia="en-GB"/>
                <w14:ligatures w14:val="none"/>
              </w:rPr>
              <w:t>Variable</w:t>
            </w:r>
          </w:p>
        </w:tc>
        <w:tc>
          <w:tcPr>
            <w:tcW w:w="960" w:type="dxa"/>
            <w:tcBorders>
              <w:top w:val="single" w:sz="4" w:space="0" w:color="auto"/>
              <w:left w:val="nil"/>
              <w:bottom w:val="single" w:sz="4" w:space="0" w:color="auto"/>
              <w:right w:val="nil"/>
            </w:tcBorders>
            <w:noWrap/>
            <w:vAlign w:val="center"/>
            <w:hideMark/>
          </w:tcPr>
          <w:p w14:paraId="516E15CA" w14:textId="77777777" w:rsidR="00481052" w:rsidRPr="00481052" w:rsidRDefault="00481052" w:rsidP="00481052">
            <w:pPr>
              <w:spacing w:after="0" w:line="240" w:lineRule="auto"/>
              <w:jc w:val="center"/>
              <w:rPr>
                <w:rFonts w:ascii="Arial" w:eastAsia="Times New Roman" w:hAnsi="Arial" w:cs="Arial"/>
                <w:b/>
                <w:bCs/>
                <w:color w:val="000000"/>
                <w:kern w:val="0"/>
                <w:sz w:val="20"/>
                <w:szCs w:val="20"/>
                <w:lang w:eastAsia="en-GB"/>
                <w14:ligatures w14:val="none"/>
              </w:rPr>
            </w:pPr>
            <w:r w:rsidRPr="00481052">
              <w:rPr>
                <w:rFonts w:ascii="Arial" w:eastAsia="Times New Roman" w:hAnsi="Arial" w:cs="Arial"/>
                <w:b/>
                <w:bCs/>
                <w:color w:val="000000"/>
                <w:kern w:val="0"/>
                <w:sz w:val="20"/>
                <w:szCs w:val="20"/>
                <w:lang w:eastAsia="en-GB"/>
                <w14:ligatures w14:val="none"/>
              </w:rPr>
              <w:t>OR</w:t>
            </w:r>
          </w:p>
        </w:tc>
        <w:tc>
          <w:tcPr>
            <w:tcW w:w="1329" w:type="dxa"/>
            <w:tcBorders>
              <w:top w:val="single" w:sz="4" w:space="0" w:color="auto"/>
              <w:left w:val="nil"/>
              <w:bottom w:val="single" w:sz="4" w:space="0" w:color="auto"/>
              <w:right w:val="nil"/>
            </w:tcBorders>
            <w:noWrap/>
            <w:vAlign w:val="center"/>
            <w:hideMark/>
          </w:tcPr>
          <w:p w14:paraId="0746D907" w14:textId="77777777" w:rsidR="00481052" w:rsidRPr="00481052" w:rsidRDefault="00481052" w:rsidP="00481052">
            <w:pPr>
              <w:spacing w:after="0" w:line="240" w:lineRule="auto"/>
              <w:jc w:val="center"/>
              <w:rPr>
                <w:rFonts w:ascii="Arial" w:eastAsia="Times New Roman" w:hAnsi="Arial" w:cs="Arial"/>
                <w:b/>
                <w:bCs/>
                <w:color w:val="000000"/>
                <w:kern w:val="0"/>
                <w:sz w:val="20"/>
                <w:szCs w:val="20"/>
                <w:lang w:eastAsia="en-GB"/>
                <w14:ligatures w14:val="none"/>
              </w:rPr>
            </w:pPr>
            <w:r w:rsidRPr="00481052">
              <w:rPr>
                <w:rFonts w:ascii="Arial" w:eastAsia="Times New Roman" w:hAnsi="Arial" w:cs="Arial"/>
                <w:b/>
                <w:bCs/>
                <w:color w:val="000000"/>
                <w:kern w:val="0"/>
                <w:sz w:val="20"/>
                <w:szCs w:val="20"/>
                <w:lang w:eastAsia="en-GB"/>
                <w14:ligatures w14:val="none"/>
              </w:rPr>
              <w:t>95% CI</w:t>
            </w:r>
          </w:p>
        </w:tc>
        <w:tc>
          <w:tcPr>
            <w:tcW w:w="960" w:type="dxa"/>
            <w:tcBorders>
              <w:top w:val="single" w:sz="4" w:space="0" w:color="auto"/>
              <w:left w:val="nil"/>
              <w:bottom w:val="single" w:sz="4" w:space="0" w:color="auto"/>
              <w:right w:val="nil"/>
            </w:tcBorders>
            <w:noWrap/>
            <w:vAlign w:val="center"/>
            <w:hideMark/>
          </w:tcPr>
          <w:p w14:paraId="44009192" w14:textId="77777777" w:rsidR="00481052" w:rsidRPr="00481052" w:rsidRDefault="00481052" w:rsidP="00481052">
            <w:pPr>
              <w:spacing w:after="0" w:line="240" w:lineRule="auto"/>
              <w:jc w:val="center"/>
              <w:rPr>
                <w:rFonts w:ascii="Arial" w:eastAsia="Times New Roman" w:hAnsi="Arial" w:cs="Arial"/>
                <w:b/>
                <w:bCs/>
                <w:color w:val="000000"/>
                <w:kern w:val="0"/>
                <w:sz w:val="20"/>
                <w:szCs w:val="20"/>
                <w:lang w:eastAsia="en-GB"/>
                <w14:ligatures w14:val="none"/>
              </w:rPr>
            </w:pPr>
            <w:r w:rsidRPr="00481052">
              <w:rPr>
                <w:rFonts w:ascii="Arial" w:eastAsia="Times New Roman" w:hAnsi="Arial" w:cs="Arial"/>
                <w:b/>
                <w:bCs/>
                <w:color w:val="000000"/>
                <w:kern w:val="0"/>
                <w:sz w:val="20"/>
                <w:szCs w:val="20"/>
                <w:lang w:eastAsia="en-GB"/>
                <w14:ligatures w14:val="none"/>
              </w:rPr>
              <w:t>p value</w:t>
            </w:r>
          </w:p>
        </w:tc>
      </w:tr>
      <w:tr w:rsidR="00481052" w:rsidRPr="00481052" w14:paraId="12D41EA2" w14:textId="77777777" w:rsidTr="001C1680">
        <w:trPr>
          <w:trHeight w:val="50"/>
          <w:jc w:val="center"/>
        </w:trPr>
        <w:tc>
          <w:tcPr>
            <w:tcW w:w="4708" w:type="dxa"/>
            <w:tcBorders>
              <w:top w:val="nil"/>
              <w:left w:val="nil"/>
              <w:bottom w:val="nil"/>
              <w:right w:val="nil"/>
            </w:tcBorders>
            <w:noWrap/>
            <w:vAlign w:val="center"/>
            <w:hideMark/>
          </w:tcPr>
          <w:p w14:paraId="1F6237D5" w14:textId="77777777" w:rsidR="00481052" w:rsidRPr="00481052" w:rsidRDefault="00481052" w:rsidP="00481052">
            <w:pPr>
              <w:spacing w:after="0" w:line="240" w:lineRule="auto"/>
              <w:rPr>
                <w:rFonts w:ascii="Arial" w:eastAsia="Times New Roman" w:hAnsi="Arial" w:cs="Arial"/>
                <w:color w:val="000000"/>
                <w:kern w:val="0"/>
                <w:sz w:val="20"/>
                <w:szCs w:val="20"/>
                <w:lang w:eastAsia="en-GB"/>
                <w14:ligatures w14:val="none"/>
              </w:rPr>
            </w:pPr>
            <w:r w:rsidRPr="00481052">
              <w:rPr>
                <w:rFonts w:ascii="Arial" w:eastAsia="Times New Roman" w:hAnsi="Arial" w:cs="Arial"/>
                <w:color w:val="000000"/>
                <w:kern w:val="0"/>
                <w:sz w:val="20"/>
                <w:szCs w:val="20"/>
                <w:lang w:eastAsia="en-GB"/>
                <w14:ligatures w14:val="none"/>
              </w:rPr>
              <w:t>Age (per year)</w:t>
            </w:r>
          </w:p>
        </w:tc>
        <w:tc>
          <w:tcPr>
            <w:tcW w:w="960" w:type="dxa"/>
            <w:tcBorders>
              <w:top w:val="nil"/>
              <w:left w:val="nil"/>
              <w:bottom w:val="nil"/>
              <w:right w:val="nil"/>
            </w:tcBorders>
            <w:noWrap/>
            <w:vAlign w:val="center"/>
            <w:hideMark/>
          </w:tcPr>
          <w:p w14:paraId="1604A360" w14:textId="77777777" w:rsidR="00481052" w:rsidRPr="00481052" w:rsidRDefault="00481052" w:rsidP="000F4E9D">
            <w:pPr>
              <w:spacing w:after="0" w:line="240" w:lineRule="auto"/>
              <w:jc w:val="center"/>
              <w:rPr>
                <w:rFonts w:ascii="Arial" w:eastAsia="Times New Roman" w:hAnsi="Arial" w:cs="Arial"/>
                <w:color w:val="000000"/>
                <w:kern w:val="0"/>
                <w:sz w:val="20"/>
                <w:szCs w:val="20"/>
                <w:lang w:eastAsia="en-GB"/>
                <w14:ligatures w14:val="none"/>
              </w:rPr>
            </w:pPr>
            <w:r w:rsidRPr="00481052">
              <w:rPr>
                <w:rFonts w:ascii="Arial" w:eastAsia="Times New Roman" w:hAnsi="Arial" w:cs="Arial"/>
                <w:color w:val="000000"/>
                <w:kern w:val="0"/>
                <w:sz w:val="20"/>
                <w:szCs w:val="20"/>
                <w:lang w:eastAsia="en-GB"/>
                <w14:ligatures w14:val="none"/>
              </w:rPr>
              <w:t>1.08</w:t>
            </w:r>
          </w:p>
        </w:tc>
        <w:tc>
          <w:tcPr>
            <w:tcW w:w="1329" w:type="dxa"/>
            <w:tcBorders>
              <w:top w:val="nil"/>
              <w:left w:val="nil"/>
              <w:bottom w:val="nil"/>
              <w:right w:val="nil"/>
            </w:tcBorders>
            <w:noWrap/>
            <w:vAlign w:val="center"/>
            <w:hideMark/>
          </w:tcPr>
          <w:p w14:paraId="4AFC47CE" w14:textId="77777777" w:rsidR="00481052" w:rsidRPr="00481052" w:rsidRDefault="00481052" w:rsidP="000F4E9D">
            <w:pPr>
              <w:spacing w:after="0" w:line="240" w:lineRule="auto"/>
              <w:jc w:val="center"/>
              <w:rPr>
                <w:rFonts w:ascii="Arial" w:eastAsia="Times New Roman" w:hAnsi="Arial" w:cs="Arial"/>
                <w:color w:val="000000"/>
                <w:kern w:val="0"/>
                <w:sz w:val="20"/>
                <w:szCs w:val="20"/>
                <w:lang w:eastAsia="en-GB"/>
                <w14:ligatures w14:val="none"/>
              </w:rPr>
            </w:pPr>
            <w:r w:rsidRPr="00481052">
              <w:rPr>
                <w:rFonts w:ascii="Arial" w:eastAsia="Times New Roman" w:hAnsi="Arial" w:cs="Arial"/>
                <w:color w:val="000000"/>
                <w:kern w:val="0"/>
                <w:sz w:val="20"/>
                <w:szCs w:val="20"/>
                <w:lang w:eastAsia="en-GB"/>
                <w14:ligatures w14:val="none"/>
              </w:rPr>
              <w:t>0.82–1.42</w:t>
            </w:r>
          </w:p>
        </w:tc>
        <w:tc>
          <w:tcPr>
            <w:tcW w:w="960" w:type="dxa"/>
            <w:tcBorders>
              <w:top w:val="nil"/>
              <w:left w:val="nil"/>
              <w:bottom w:val="nil"/>
              <w:right w:val="nil"/>
            </w:tcBorders>
            <w:noWrap/>
            <w:vAlign w:val="center"/>
            <w:hideMark/>
          </w:tcPr>
          <w:p w14:paraId="4B5B90F0" w14:textId="77777777" w:rsidR="00481052" w:rsidRPr="00481052" w:rsidRDefault="00481052" w:rsidP="000F4E9D">
            <w:pPr>
              <w:spacing w:after="0" w:line="240" w:lineRule="auto"/>
              <w:jc w:val="center"/>
              <w:rPr>
                <w:rFonts w:ascii="Arial" w:eastAsia="Times New Roman" w:hAnsi="Arial" w:cs="Arial"/>
                <w:color w:val="000000"/>
                <w:kern w:val="0"/>
                <w:sz w:val="20"/>
                <w:szCs w:val="20"/>
                <w:lang w:eastAsia="en-GB"/>
                <w14:ligatures w14:val="none"/>
              </w:rPr>
            </w:pPr>
            <w:r w:rsidRPr="00481052">
              <w:rPr>
                <w:rFonts w:ascii="Arial" w:eastAsia="Times New Roman" w:hAnsi="Arial" w:cs="Arial"/>
                <w:color w:val="000000"/>
                <w:kern w:val="0"/>
                <w:sz w:val="20"/>
                <w:szCs w:val="20"/>
                <w:lang w:eastAsia="en-GB"/>
                <w14:ligatures w14:val="none"/>
              </w:rPr>
              <w:t>0.6</w:t>
            </w:r>
          </w:p>
        </w:tc>
      </w:tr>
      <w:tr w:rsidR="00481052" w:rsidRPr="00481052" w14:paraId="2F3FB95F" w14:textId="77777777" w:rsidTr="001C1680">
        <w:trPr>
          <w:trHeight w:val="60"/>
          <w:jc w:val="center"/>
        </w:trPr>
        <w:tc>
          <w:tcPr>
            <w:tcW w:w="4708" w:type="dxa"/>
            <w:tcBorders>
              <w:top w:val="nil"/>
              <w:left w:val="nil"/>
              <w:bottom w:val="nil"/>
              <w:right w:val="nil"/>
            </w:tcBorders>
            <w:noWrap/>
            <w:vAlign w:val="center"/>
            <w:hideMark/>
          </w:tcPr>
          <w:p w14:paraId="6EA7DF5A" w14:textId="77777777" w:rsidR="00481052" w:rsidRPr="00481052" w:rsidRDefault="00481052" w:rsidP="00481052">
            <w:pPr>
              <w:spacing w:after="0" w:line="240" w:lineRule="auto"/>
              <w:rPr>
                <w:rFonts w:ascii="Arial" w:eastAsia="Times New Roman" w:hAnsi="Arial" w:cs="Arial"/>
                <w:color w:val="000000"/>
                <w:kern w:val="0"/>
                <w:sz w:val="20"/>
                <w:szCs w:val="20"/>
                <w:lang w:eastAsia="en-GB"/>
                <w14:ligatures w14:val="none"/>
              </w:rPr>
            </w:pPr>
            <w:r w:rsidRPr="00481052">
              <w:rPr>
                <w:rFonts w:ascii="Arial" w:eastAsia="Times New Roman" w:hAnsi="Arial" w:cs="Arial"/>
                <w:color w:val="000000"/>
                <w:kern w:val="0"/>
                <w:sz w:val="20"/>
                <w:szCs w:val="20"/>
                <w:lang w:eastAsia="en-GB"/>
                <w14:ligatures w14:val="none"/>
              </w:rPr>
              <w:t>Infraspinatus fatty infiltration grade 2</w:t>
            </w:r>
          </w:p>
        </w:tc>
        <w:tc>
          <w:tcPr>
            <w:tcW w:w="960" w:type="dxa"/>
            <w:tcBorders>
              <w:top w:val="nil"/>
              <w:left w:val="nil"/>
              <w:bottom w:val="nil"/>
              <w:right w:val="nil"/>
            </w:tcBorders>
            <w:noWrap/>
            <w:vAlign w:val="center"/>
            <w:hideMark/>
          </w:tcPr>
          <w:p w14:paraId="393069DF" w14:textId="77777777" w:rsidR="00481052" w:rsidRPr="00481052" w:rsidRDefault="00481052" w:rsidP="000F4E9D">
            <w:pPr>
              <w:spacing w:after="0" w:line="240" w:lineRule="auto"/>
              <w:jc w:val="center"/>
              <w:rPr>
                <w:rFonts w:ascii="Arial" w:eastAsia="Times New Roman" w:hAnsi="Arial" w:cs="Arial"/>
                <w:color w:val="000000"/>
                <w:kern w:val="0"/>
                <w:sz w:val="20"/>
                <w:szCs w:val="20"/>
                <w:lang w:eastAsia="en-GB"/>
                <w14:ligatures w14:val="none"/>
              </w:rPr>
            </w:pPr>
            <w:r w:rsidRPr="00481052">
              <w:rPr>
                <w:rFonts w:ascii="Arial" w:eastAsia="Times New Roman" w:hAnsi="Arial" w:cs="Arial"/>
                <w:color w:val="000000"/>
                <w:kern w:val="0"/>
                <w:sz w:val="20"/>
                <w:szCs w:val="20"/>
                <w:lang w:eastAsia="en-GB"/>
                <w14:ligatures w14:val="none"/>
              </w:rPr>
              <w:t>2.12</w:t>
            </w:r>
          </w:p>
        </w:tc>
        <w:tc>
          <w:tcPr>
            <w:tcW w:w="1329" w:type="dxa"/>
            <w:tcBorders>
              <w:top w:val="nil"/>
              <w:left w:val="nil"/>
              <w:bottom w:val="nil"/>
              <w:right w:val="nil"/>
            </w:tcBorders>
            <w:noWrap/>
            <w:vAlign w:val="center"/>
            <w:hideMark/>
          </w:tcPr>
          <w:p w14:paraId="115A5254" w14:textId="77777777" w:rsidR="00481052" w:rsidRPr="00481052" w:rsidRDefault="00481052" w:rsidP="000F4E9D">
            <w:pPr>
              <w:spacing w:after="0" w:line="240" w:lineRule="auto"/>
              <w:jc w:val="center"/>
              <w:rPr>
                <w:rFonts w:ascii="Arial" w:eastAsia="Times New Roman" w:hAnsi="Arial" w:cs="Arial"/>
                <w:color w:val="000000"/>
                <w:kern w:val="0"/>
                <w:sz w:val="20"/>
                <w:szCs w:val="20"/>
                <w:lang w:eastAsia="en-GB"/>
                <w14:ligatures w14:val="none"/>
              </w:rPr>
            </w:pPr>
            <w:r w:rsidRPr="00481052">
              <w:rPr>
                <w:rFonts w:ascii="Arial" w:eastAsia="Times New Roman" w:hAnsi="Arial" w:cs="Arial"/>
                <w:color w:val="000000"/>
                <w:kern w:val="0"/>
                <w:sz w:val="20"/>
                <w:szCs w:val="20"/>
                <w:lang w:eastAsia="en-GB"/>
                <w14:ligatures w14:val="none"/>
              </w:rPr>
              <w:t>0.41–10.84</w:t>
            </w:r>
          </w:p>
        </w:tc>
        <w:tc>
          <w:tcPr>
            <w:tcW w:w="960" w:type="dxa"/>
            <w:tcBorders>
              <w:top w:val="nil"/>
              <w:left w:val="nil"/>
              <w:bottom w:val="nil"/>
              <w:right w:val="nil"/>
            </w:tcBorders>
            <w:noWrap/>
            <w:vAlign w:val="center"/>
            <w:hideMark/>
          </w:tcPr>
          <w:p w14:paraId="51150A7A" w14:textId="77777777" w:rsidR="00481052" w:rsidRPr="00481052" w:rsidRDefault="00481052" w:rsidP="000F4E9D">
            <w:pPr>
              <w:spacing w:after="0" w:line="240" w:lineRule="auto"/>
              <w:jc w:val="center"/>
              <w:rPr>
                <w:rFonts w:ascii="Arial" w:eastAsia="Times New Roman" w:hAnsi="Arial" w:cs="Arial"/>
                <w:color w:val="000000"/>
                <w:kern w:val="0"/>
                <w:sz w:val="20"/>
                <w:szCs w:val="20"/>
                <w:lang w:eastAsia="en-GB"/>
                <w14:ligatures w14:val="none"/>
              </w:rPr>
            </w:pPr>
            <w:r w:rsidRPr="00481052">
              <w:rPr>
                <w:rFonts w:ascii="Arial" w:eastAsia="Times New Roman" w:hAnsi="Arial" w:cs="Arial"/>
                <w:color w:val="000000"/>
                <w:kern w:val="0"/>
                <w:sz w:val="20"/>
                <w:szCs w:val="20"/>
                <w:lang w:eastAsia="en-GB"/>
                <w14:ligatures w14:val="none"/>
              </w:rPr>
              <w:t>0.368</w:t>
            </w:r>
          </w:p>
        </w:tc>
      </w:tr>
      <w:tr w:rsidR="00481052" w:rsidRPr="00481052" w14:paraId="72CB086E" w14:textId="77777777" w:rsidTr="001C1680">
        <w:trPr>
          <w:trHeight w:val="60"/>
          <w:jc w:val="center"/>
        </w:trPr>
        <w:tc>
          <w:tcPr>
            <w:tcW w:w="4708" w:type="dxa"/>
            <w:tcBorders>
              <w:top w:val="nil"/>
              <w:left w:val="nil"/>
              <w:bottom w:val="nil"/>
              <w:right w:val="nil"/>
            </w:tcBorders>
            <w:noWrap/>
            <w:vAlign w:val="center"/>
            <w:hideMark/>
          </w:tcPr>
          <w:p w14:paraId="3AB73D31" w14:textId="77777777" w:rsidR="00481052" w:rsidRPr="00481052" w:rsidRDefault="00481052" w:rsidP="00481052">
            <w:pPr>
              <w:spacing w:after="0" w:line="240" w:lineRule="auto"/>
              <w:rPr>
                <w:rFonts w:ascii="Arial" w:eastAsia="Times New Roman" w:hAnsi="Arial" w:cs="Arial"/>
                <w:color w:val="000000"/>
                <w:kern w:val="0"/>
                <w:sz w:val="20"/>
                <w:szCs w:val="20"/>
                <w:lang w:eastAsia="en-GB"/>
                <w14:ligatures w14:val="none"/>
              </w:rPr>
            </w:pPr>
            <w:r w:rsidRPr="00481052">
              <w:rPr>
                <w:rFonts w:ascii="Arial" w:eastAsia="Times New Roman" w:hAnsi="Arial" w:cs="Arial"/>
                <w:color w:val="000000"/>
                <w:kern w:val="0"/>
                <w:sz w:val="20"/>
                <w:szCs w:val="20"/>
                <w:lang w:eastAsia="en-GB"/>
                <w14:ligatures w14:val="none"/>
              </w:rPr>
              <w:t>Supraspinatus occupation ratio (per 1% increase)</w:t>
            </w:r>
          </w:p>
        </w:tc>
        <w:tc>
          <w:tcPr>
            <w:tcW w:w="960" w:type="dxa"/>
            <w:tcBorders>
              <w:top w:val="nil"/>
              <w:left w:val="nil"/>
              <w:bottom w:val="nil"/>
              <w:right w:val="nil"/>
            </w:tcBorders>
            <w:noWrap/>
            <w:vAlign w:val="center"/>
            <w:hideMark/>
          </w:tcPr>
          <w:p w14:paraId="22B345D0" w14:textId="77777777" w:rsidR="00481052" w:rsidRPr="00481052" w:rsidRDefault="00481052" w:rsidP="000F4E9D">
            <w:pPr>
              <w:spacing w:after="0" w:line="240" w:lineRule="auto"/>
              <w:jc w:val="center"/>
              <w:rPr>
                <w:rFonts w:ascii="Arial" w:eastAsia="Times New Roman" w:hAnsi="Arial" w:cs="Arial"/>
                <w:color w:val="000000"/>
                <w:kern w:val="0"/>
                <w:sz w:val="20"/>
                <w:szCs w:val="20"/>
                <w:lang w:eastAsia="en-GB"/>
                <w14:ligatures w14:val="none"/>
              </w:rPr>
            </w:pPr>
            <w:r w:rsidRPr="00481052">
              <w:rPr>
                <w:rFonts w:ascii="Arial" w:eastAsia="Times New Roman" w:hAnsi="Arial" w:cs="Arial"/>
                <w:color w:val="000000"/>
                <w:kern w:val="0"/>
                <w:sz w:val="20"/>
                <w:szCs w:val="20"/>
                <w:lang w:eastAsia="en-GB"/>
                <w14:ligatures w14:val="none"/>
              </w:rPr>
              <w:t>0.7</w:t>
            </w:r>
          </w:p>
        </w:tc>
        <w:tc>
          <w:tcPr>
            <w:tcW w:w="1329" w:type="dxa"/>
            <w:tcBorders>
              <w:top w:val="nil"/>
              <w:left w:val="nil"/>
              <w:bottom w:val="nil"/>
              <w:right w:val="nil"/>
            </w:tcBorders>
            <w:noWrap/>
            <w:vAlign w:val="center"/>
            <w:hideMark/>
          </w:tcPr>
          <w:p w14:paraId="5289FB34" w14:textId="77777777" w:rsidR="00481052" w:rsidRPr="00481052" w:rsidRDefault="00481052" w:rsidP="000F4E9D">
            <w:pPr>
              <w:spacing w:after="0" w:line="240" w:lineRule="auto"/>
              <w:jc w:val="center"/>
              <w:rPr>
                <w:rFonts w:ascii="Arial" w:eastAsia="Times New Roman" w:hAnsi="Arial" w:cs="Arial"/>
                <w:color w:val="000000"/>
                <w:kern w:val="0"/>
                <w:sz w:val="20"/>
                <w:szCs w:val="20"/>
                <w:lang w:eastAsia="en-GB"/>
                <w14:ligatures w14:val="none"/>
              </w:rPr>
            </w:pPr>
            <w:r w:rsidRPr="00481052">
              <w:rPr>
                <w:rFonts w:ascii="Arial" w:eastAsia="Times New Roman" w:hAnsi="Arial" w:cs="Arial"/>
                <w:color w:val="000000"/>
                <w:kern w:val="0"/>
                <w:sz w:val="20"/>
                <w:szCs w:val="20"/>
                <w:lang w:eastAsia="en-GB"/>
                <w14:ligatures w14:val="none"/>
              </w:rPr>
              <w:t>0.51–0.94</w:t>
            </w:r>
          </w:p>
        </w:tc>
        <w:tc>
          <w:tcPr>
            <w:tcW w:w="960" w:type="dxa"/>
            <w:tcBorders>
              <w:top w:val="nil"/>
              <w:left w:val="nil"/>
              <w:bottom w:val="nil"/>
              <w:right w:val="nil"/>
            </w:tcBorders>
            <w:noWrap/>
            <w:vAlign w:val="center"/>
            <w:hideMark/>
          </w:tcPr>
          <w:p w14:paraId="1276CE0A" w14:textId="77777777" w:rsidR="00481052" w:rsidRPr="00481052" w:rsidRDefault="00481052" w:rsidP="000F4E9D">
            <w:pPr>
              <w:spacing w:after="0" w:line="240" w:lineRule="auto"/>
              <w:jc w:val="center"/>
              <w:rPr>
                <w:rFonts w:ascii="Arial" w:eastAsia="Times New Roman" w:hAnsi="Arial" w:cs="Arial"/>
                <w:color w:val="000000"/>
                <w:kern w:val="0"/>
                <w:sz w:val="20"/>
                <w:szCs w:val="20"/>
                <w:lang w:eastAsia="en-GB"/>
                <w14:ligatures w14:val="none"/>
              </w:rPr>
            </w:pPr>
            <w:r w:rsidRPr="00481052">
              <w:rPr>
                <w:rFonts w:ascii="Arial" w:eastAsia="Times New Roman" w:hAnsi="Arial" w:cs="Arial"/>
                <w:color w:val="000000"/>
                <w:kern w:val="0"/>
                <w:sz w:val="20"/>
                <w:szCs w:val="20"/>
                <w:lang w:eastAsia="en-GB"/>
                <w14:ligatures w14:val="none"/>
              </w:rPr>
              <w:t>0.018</w:t>
            </w:r>
          </w:p>
        </w:tc>
      </w:tr>
      <w:tr w:rsidR="00481052" w:rsidRPr="00481052" w14:paraId="710653DC" w14:textId="77777777" w:rsidTr="001C1680">
        <w:trPr>
          <w:trHeight w:val="60"/>
          <w:jc w:val="center"/>
        </w:trPr>
        <w:tc>
          <w:tcPr>
            <w:tcW w:w="4708" w:type="dxa"/>
            <w:tcBorders>
              <w:top w:val="nil"/>
              <w:left w:val="nil"/>
              <w:bottom w:val="single" w:sz="4" w:space="0" w:color="auto"/>
              <w:right w:val="nil"/>
            </w:tcBorders>
            <w:noWrap/>
            <w:vAlign w:val="center"/>
            <w:hideMark/>
          </w:tcPr>
          <w:p w14:paraId="720F6A01" w14:textId="77777777" w:rsidR="00481052" w:rsidRPr="00481052" w:rsidRDefault="00481052" w:rsidP="00481052">
            <w:pPr>
              <w:spacing w:after="0" w:line="240" w:lineRule="auto"/>
              <w:rPr>
                <w:rFonts w:ascii="Arial" w:eastAsia="Times New Roman" w:hAnsi="Arial" w:cs="Arial"/>
                <w:color w:val="000000"/>
                <w:kern w:val="0"/>
                <w:sz w:val="20"/>
                <w:szCs w:val="20"/>
                <w:lang w:eastAsia="en-GB"/>
                <w14:ligatures w14:val="none"/>
              </w:rPr>
            </w:pPr>
            <w:r w:rsidRPr="00481052">
              <w:rPr>
                <w:rFonts w:ascii="Arial" w:eastAsia="Times New Roman" w:hAnsi="Arial" w:cs="Arial"/>
                <w:color w:val="000000"/>
                <w:kern w:val="0"/>
                <w:sz w:val="20"/>
                <w:szCs w:val="20"/>
                <w:lang w:eastAsia="en-GB"/>
                <w14:ligatures w14:val="none"/>
              </w:rPr>
              <w:t>Acromiohumeral distance (per mm)</w:t>
            </w:r>
          </w:p>
        </w:tc>
        <w:tc>
          <w:tcPr>
            <w:tcW w:w="960" w:type="dxa"/>
            <w:tcBorders>
              <w:top w:val="nil"/>
              <w:left w:val="nil"/>
              <w:bottom w:val="single" w:sz="4" w:space="0" w:color="auto"/>
              <w:right w:val="nil"/>
            </w:tcBorders>
            <w:noWrap/>
            <w:vAlign w:val="center"/>
            <w:hideMark/>
          </w:tcPr>
          <w:p w14:paraId="5462A6EB" w14:textId="77777777" w:rsidR="00481052" w:rsidRPr="00481052" w:rsidRDefault="00481052" w:rsidP="000F4E9D">
            <w:pPr>
              <w:spacing w:after="0" w:line="240" w:lineRule="auto"/>
              <w:jc w:val="center"/>
              <w:rPr>
                <w:rFonts w:ascii="Arial" w:eastAsia="Times New Roman" w:hAnsi="Arial" w:cs="Arial"/>
                <w:color w:val="000000"/>
                <w:kern w:val="0"/>
                <w:sz w:val="20"/>
                <w:szCs w:val="20"/>
                <w:lang w:eastAsia="en-GB"/>
                <w14:ligatures w14:val="none"/>
              </w:rPr>
            </w:pPr>
            <w:r w:rsidRPr="00481052">
              <w:rPr>
                <w:rFonts w:ascii="Arial" w:eastAsia="Times New Roman" w:hAnsi="Arial" w:cs="Arial"/>
                <w:color w:val="000000"/>
                <w:kern w:val="0"/>
                <w:sz w:val="20"/>
                <w:szCs w:val="20"/>
                <w:lang w:eastAsia="en-GB"/>
                <w14:ligatures w14:val="none"/>
              </w:rPr>
              <w:t>0.41</w:t>
            </w:r>
          </w:p>
        </w:tc>
        <w:tc>
          <w:tcPr>
            <w:tcW w:w="1329" w:type="dxa"/>
            <w:tcBorders>
              <w:top w:val="nil"/>
              <w:left w:val="nil"/>
              <w:bottom w:val="single" w:sz="4" w:space="0" w:color="auto"/>
              <w:right w:val="nil"/>
            </w:tcBorders>
            <w:noWrap/>
            <w:vAlign w:val="center"/>
            <w:hideMark/>
          </w:tcPr>
          <w:p w14:paraId="67AA5744" w14:textId="77777777" w:rsidR="00481052" w:rsidRPr="00481052" w:rsidRDefault="00481052" w:rsidP="000F4E9D">
            <w:pPr>
              <w:spacing w:after="0" w:line="240" w:lineRule="auto"/>
              <w:jc w:val="center"/>
              <w:rPr>
                <w:rFonts w:ascii="Arial" w:eastAsia="Times New Roman" w:hAnsi="Arial" w:cs="Arial"/>
                <w:color w:val="000000"/>
                <w:kern w:val="0"/>
                <w:sz w:val="20"/>
                <w:szCs w:val="20"/>
                <w:lang w:eastAsia="en-GB"/>
                <w14:ligatures w14:val="none"/>
              </w:rPr>
            </w:pPr>
            <w:r w:rsidRPr="00481052">
              <w:rPr>
                <w:rFonts w:ascii="Arial" w:eastAsia="Times New Roman" w:hAnsi="Arial" w:cs="Arial"/>
                <w:color w:val="000000"/>
                <w:kern w:val="0"/>
                <w:sz w:val="20"/>
                <w:szCs w:val="20"/>
                <w:lang w:eastAsia="en-GB"/>
                <w14:ligatures w14:val="none"/>
              </w:rPr>
              <w:t>0.08–2.07</w:t>
            </w:r>
          </w:p>
        </w:tc>
        <w:tc>
          <w:tcPr>
            <w:tcW w:w="960" w:type="dxa"/>
            <w:tcBorders>
              <w:top w:val="nil"/>
              <w:left w:val="nil"/>
              <w:bottom w:val="single" w:sz="4" w:space="0" w:color="auto"/>
              <w:right w:val="nil"/>
            </w:tcBorders>
            <w:noWrap/>
            <w:vAlign w:val="center"/>
            <w:hideMark/>
          </w:tcPr>
          <w:p w14:paraId="0CE2BA00" w14:textId="77777777" w:rsidR="00481052" w:rsidRPr="00481052" w:rsidRDefault="00481052" w:rsidP="000F4E9D">
            <w:pPr>
              <w:spacing w:after="0" w:line="240" w:lineRule="auto"/>
              <w:jc w:val="center"/>
              <w:rPr>
                <w:rFonts w:ascii="Arial" w:eastAsia="Times New Roman" w:hAnsi="Arial" w:cs="Arial"/>
                <w:color w:val="000000"/>
                <w:kern w:val="0"/>
                <w:sz w:val="20"/>
                <w:szCs w:val="20"/>
                <w:lang w:eastAsia="en-GB"/>
                <w14:ligatures w14:val="none"/>
              </w:rPr>
            </w:pPr>
            <w:r w:rsidRPr="00481052">
              <w:rPr>
                <w:rFonts w:ascii="Arial" w:eastAsia="Times New Roman" w:hAnsi="Arial" w:cs="Arial"/>
                <w:color w:val="000000"/>
                <w:kern w:val="0"/>
                <w:sz w:val="20"/>
                <w:szCs w:val="20"/>
                <w:lang w:eastAsia="en-GB"/>
                <w14:ligatures w14:val="none"/>
              </w:rPr>
              <w:t>0.28</w:t>
            </w:r>
          </w:p>
        </w:tc>
      </w:tr>
    </w:tbl>
    <w:p w14:paraId="40FC5CE0" w14:textId="77777777" w:rsidR="00C7093F" w:rsidRDefault="00C7093F" w:rsidP="00094BE8">
      <w:pPr>
        <w:pStyle w:val="NormalWeb"/>
        <w:spacing w:before="0" w:beforeAutospacing="0" w:after="0" w:afterAutospacing="0"/>
        <w:jc w:val="both"/>
        <w:rPr>
          <w:rFonts w:ascii="Arial" w:hAnsi="Arial" w:cs="Arial"/>
          <w:sz w:val="20"/>
          <w:szCs w:val="20"/>
        </w:rPr>
        <w:sectPr w:rsidR="00C7093F" w:rsidSect="00C7093F">
          <w:type w:val="continuous"/>
          <w:pgSz w:w="11906" w:h="16838"/>
          <w:pgMar w:top="1440" w:right="1440" w:bottom="1440" w:left="1440" w:header="720" w:footer="720" w:gutter="0"/>
          <w:cols w:space="720"/>
          <w:titlePg/>
          <w:docGrid w:linePitch="360"/>
        </w:sectPr>
      </w:pPr>
    </w:p>
    <w:p w14:paraId="28B4042C" w14:textId="46119F9C" w:rsid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lastRenderedPageBreak/>
        <w:t>The Hosmer</w:t>
      </w:r>
      <w:r w:rsidRPr="00094BE8">
        <w:rPr>
          <w:rFonts w:ascii="Arial" w:hAnsi="Arial" w:cs="Arial"/>
          <w:sz w:val="20"/>
          <w:szCs w:val="20"/>
        </w:rPr>
        <w:noBreakHyphen/>
        <w:t>Lemeshow test indicated acceptable calibration (p = 0.72), but the small sample size limits reliability.</w:t>
      </w:r>
    </w:p>
    <w:p w14:paraId="52AF3070" w14:textId="77777777" w:rsidR="009613CD" w:rsidRPr="00094BE8" w:rsidRDefault="009613CD" w:rsidP="00094BE8">
      <w:pPr>
        <w:pStyle w:val="NormalWeb"/>
        <w:spacing w:before="0" w:beforeAutospacing="0" w:after="0" w:afterAutospacing="0"/>
        <w:jc w:val="both"/>
        <w:rPr>
          <w:rFonts w:ascii="Arial" w:hAnsi="Arial" w:cs="Arial"/>
          <w:sz w:val="20"/>
          <w:szCs w:val="20"/>
        </w:rPr>
      </w:pPr>
    </w:p>
    <w:p w14:paraId="4E4897A7" w14:textId="4CFE4E85" w:rsidR="009613CD" w:rsidRPr="009613CD" w:rsidRDefault="009613CD" w:rsidP="00094BE8">
      <w:pPr>
        <w:pStyle w:val="NormalWeb"/>
        <w:spacing w:before="0" w:beforeAutospacing="0" w:after="0" w:afterAutospacing="0"/>
        <w:jc w:val="both"/>
        <w:rPr>
          <w:rFonts w:ascii="Arial" w:hAnsi="Arial" w:cs="Arial"/>
          <w:b/>
          <w:bCs/>
          <w:sz w:val="20"/>
          <w:szCs w:val="20"/>
        </w:rPr>
      </w:pPr>
      <w:r w:rsidRPr="009613CD">
        <w:rPr>
          <w:rFonts w:ascii="Arial" w:hAnsi="Arial" w:cs="Arial"/>
          <w:b/>
          <w:bCs/>
          <w:sz w:val="20"/>
          <w:szCs w:val="20"/>
        </w:rPr>
        <w:t>Discussion</w:t>
      </w:r>
    </w:p>
    <w:p w14:paraId="1D10DF28" w14:textId="01FEB829" w:rsid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In this prospective cohort of patients undergoing arthroscopic suture</w:t>
      </w:r>
      <w:r w:rsidRPr="00094BE8">
        <w:rPr>
          <w:rFonts w:ascii="Arial" w:hAnsi="Arial" w:cs="Arial"/>
          <w:sz w:val="20"/>
          <w:szCs w:val="20"/>
        </w:rPr>
        <w:noBreakHyphen/>
        <w:t>bridge repair with PRF augmentation for large rotator cuff tears (3–5 cm), the preoperative supraspinatus occupation ratio on MRI was the only independent predictor of tendon integrity at 6 months. This finding aligns with a growing body of evidence that muscle</w:t>
      </w:r>
      <w:r w:rsidRPr="00094BE8">
        <w:rPr>
          <w:rFonts w:ascii="Arial" w:hAnsi="Arial" w:cs="Arial"/>
          <w:sz w:val="20"/>
          <w:szCs w:val="20"/>
        </w:rPr>
        <w:noBreakHyphen/>
        <w:t xml:space="preserve">tendon quality, particularly supraspinatus muscle atrophy, is a critical determinant of healing after rotator cuff repair, even when biological augmentation is used </w:t>
      </w:r>
      <w:r w:rsidR="00AE5ECE" w:rsidRPr="00AE5ECE">
        <w:rPr>
          <w:rFonts w:ascii="Arial" w:hAnsi="Arial" w:cs="Arial"/>
          <w:color w:val="0000FF"/>
          <w:sz w:val="20"/>
          <w:szCs w:val="20"/>
        </w:rPr>
        <w:t>(</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_Ref230600107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9</w:t>
      </w:r>
      <w:r w:rsidR="00C7093F">
        <w:rPr>
          <w:rFonts w:ascii="Arial" w:hAnsi="Arial" w:cs="Arial"/>
          <w:color w:val="0000FF"/>
          <w:sz w:val="20"/>
          <w:szCs w:val="20"/>
        </w:rPr>
        <w:fldChar w:fldCharType="end"/>
      </w:r>
      <w:r w:rsidRPr="00AE5ECE">
        <w:rPr>
          <w:rFonts w:ascii="Arial" w:hAnsi="Arial" w:cs="Arial"/>
          <w:color w:val="0000FF"/>
          <w:sz w:val="20"/>
          <w:szCs w:val="20"/>
        </w:rPr>
        <w:t>,</w:t>
      </w:r>
      <w:r w:rsidR="00AE5ECE" w:rsidRPr="00AE5ECE">
        <w:rPr>
          <w:rFonts w:ascii="Arial" w:hAnsi="Arial" w:cs="Arial"/>
          <w:color w:val="0000FF"/>
          <w:sz w:val="20"/>
          <w:szCs w:val="20"/>
        </w:rPr>
        <w:t xml:space="preserve"> </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_Ref230600329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19</w:t>
      </w:r>
      <w:r w:rsidR="00C7093F">
        <w:rPr>
          <w:rFonts w:ascii="Arial" w:hAnsi="Arial" w:cs="Arial"/>
          <w:color w:val="0000FF"/>
          <w:sz w:val="20"/>
          <w:szCs w:val="20"/>
        </w:rPr>
        <w:fldChar w:fldCharType="end"/>
      </w:r>
      <w:r w:rsidR="00AE5ECE" w:rsidRPr="00AE5ECE">
        <w:rPr>
          <w:rFonts w:ascii="Arial" w:hAnsi="Arial" w:cs="Arial"/>
          <w:color w:val="0000FF"/>
          <w:sz w:val="20"/>
          <w:szCs w:val="20"/>
        </w:rPr>
        <w:t xml:space="preserve">, </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_Ref230600339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20</w:t>
      </w:r>
      <w:r w:rsidR="00C7093F">
        <w:rPr>
          <w:rFonts w:ascii="Arial" w:hAnsi="Arial" w:cs="Arial"/>
          <w:color w:val="0000FF"/>
          <w:sz w:val="20"/>
          <w:szCs w:val="20"/>
        </w:rPr>
        <w:fldChar w:fldCharType="end"/>
      </w:r>
      <w:r w:rsidR="00AE5ECE" w:rsidRPr="00AE5ECE">
        <w:rPr>
          <w:rFonts w:ascii="Arial" w:hAnsi="Arial" w:cs="Arial"/>
          <w:color w:val="0000FF"/>
          <w:sz w:val="20"/>
          <w:szCs w:val="20"/>
        </w:rPr>
        <w:t xml:space="preserve">, </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_Ref230600348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21</w:t>
      </w:r>
      <w:r w:rsidR="00C7093F">
        <w:rPr>
          <w:rFonts w:ascii="Arial" w:hAnsi="Arial" w:cs="Arial"/>
          <w:color w:val="0000FF"/>
          <w:sz w:val="20"/>
          <w:szCs w:val="20"/>
        </w:rPr>
        <w:fldChar w:fldCharType="end"/>
      </w:r>
      <w:r w:rsidR="00AE5ECE" w:rsidRPr="00AE5ECE">
        <w:rPr>
          <w:rFonts w:ascii="Arial" w:hAnsi="Arial" w:cs="Arial"/>
          <w:color w:val="0000FF"/>
          <w:sz w:val="20"/>
          <w:szCs w:val="20"/>
        </w:rPr>
        <w:t>)</w:t>
      </w:r>
      <w:r w:rsidRPr="00094BE8">
        <w:rPr>
          <w:rFonts w:ascii="Arial" w:hAnsi="Arial" w:cs="Arial"/>
          <w:sz w:val="20"/>
          <w:szCs w:val="20"/>
        </w:rPr>
        <w:t>.</w:t>
      </w:r>
    </w:p>
    <w:p w14:paraId="2C457724" w14:textId="77777777" w:rsidR="00D712F0" w:rsidRPr="00094BE8" w:rsidRDefault="00D712F0" w:rsidP="00094BE8">
      <w:pPr>
        <w:pStyle w:val="NormalWeb"/>
        <w:spacing w:before="0" w:beforeAutospacing="0" w:after="0" w:afterAutospacing="0"/>
        <w:jc w:val="both"/>
        <w:rPr>
          <w:rFonts w:ascii="Arial" w:hAnsi="Arial" w:cs="Arial"/>
          <w:sz w:val="20"/>
          <w:szCs w:val="20"/>
        </w:rPr>
      </w:pPr>
    </w:p>
    <w:p w14:paraId="7C20D562" w14:textId="77777777" w:rsidR="00D712F0" w:rsidRPr="00D712F0" w:rsidRDefault="00094BE8" w:rsidP="00094BE8">
      <w:pPr>
        <w:pStyle w:val="NormalWeb"/>
        <w:spacing w:before="0" w:beforeAutospacing="0" w:after="0" w:afterAutospacing="0"/>
        <w:jc w:val="both"/>
        <w:rPr>
          <w:rFonts w:ascii="Arial" w:hAnsi="Arial" w:cs="Arial"/>
          <w:i/>
          <w:iCs/>
          <w:sz w:val="20"/>
          <w:szCs w:val="20"/>
        </w:rPr>
      </w:pPr>
      <w:r w:rsidRPr="00D712F0">
        <w:rPr>
          <w:rFonts w:ascii="Arial" w:hAnsi="Arial" w:cs="Arial"/>
          <w:i/>
          <w:iCs/>
          <w:sz w:val="20"/>
          <w:szCs w:val="20"/>
        </w:rPr>
        <w:t>Comparison with existing literature</w:t>
      </w:r>
    </w:p>
    <w:p w14:paraId="2B4DCCD6" w14:textId="328F2EA9" w:rsidR="00094BE8" w:rsidRP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 xml:space="preserve">Several studies have examined prognostic factors for retear. In a cohort of large rotator cuff tears (mean tear size &gt;3 cm), Jeong et al. found that a supraspinatus occupation ratio &lt;43% and infraspinatus fatty infiltration ≥ grade 2 predicted retear with high accuracy (AUC 0.908) </w:t>
      </w:r>
      <w:r w:rsidR="00AE5ECE">
        <w:rPr>
          <w:rFonts w:ascii="Arial" w:hAnsi="Arial" w:cs="Arial"/>
          <w:color w:val="0000FF"/>
          <w:sz w:val="20"/>
          <w:szCs w:val="20"/>
        </w:rPr>
        <w:t>(</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_Ref230600107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9</w:t>
      </w:r>
      <w:r w:rsidR="00C7093F">
        <w:rPr>
          <w:rFonts w:ascii="Arial" w:hAnsi="Arial" w:cs="Arial"/>
          <w:color w:val="0000FF"/>
          <w:sz w:val="20"/>
          <w:szCs w:val="20"/>
        </w:rPr>
        <w:fldChar w:fldCharType="end"/>
      </w:r>
      <w:r w:rsidR="00AE5ECE" w:rsidRPr="00AE5ECE">
        <w:rPr>
          <w:rFonts w:ascii="Arial" w:hAnsi="Arial" w:cs="Arial"/>
          <w:color w:val="0000FF"/>
          <w:sz w:val="20"/>
          <w:szCs w:val="20"/>
        </w:rPr>
        <w:t>)</w:t>
      </w:r>
      <w:r w:rsidRPr="00094BE8">
        <w:rPr>
          <w:rFonts w:ascii="Arial" w:hAnsi="Arial" w:cs="Arial"/>
          <w:sz w:val="20"/>
          <w:szCs w:val="20"/>
        </w:rPr>
        <w:t xml:space="preserve">. Our results similarly show that </w:t>
      </w:r>
      <w:r w:rsidR="00D31149">
        <w:rPr>
          <w:rFonts w:ascii="Arial" w:hAnsi="Arial" w:cs="Arial"/>
          <w:sz w:val="20"/>
          <w:szCs w:val="20"/>
        </w:rPr>
        <w:t xml:space="preserve">a </w:t>
      </w:r>
      <w:r w:rsidRPr="00094BE8">
        <w:rPr>
          <w:rFonts w:ascii="Arial" w:hAnsi="Arial" w:cs="Arial"/>
          <w:sz w:val="20"/>
          <w:szCs w:val="20"/>
        </w:rPr>
        <w:t>lower occupation ratio strongly associates with retear. However, unlike Jeong’s study, we did not find infraspinatus fatty infiltration to be independent in multivariate analysis. This discrepancy may reflect differences in sample size, tear size distribution, or the use of PRF augmentation, which could potentially mitigate some effects of fatty degeneration – though this remains speculative.</w:t>
      </w:r>
    </w:p>
    <w:p w14:paraId="62B7F645" w14:textId="3EC6F977" w:rsidR="00094BE8" w:rsidRP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Park et al. identified age, tear size, and infraspinatus fatty infiltration as independent predictors in small</w:t>
      </w:r>
      <w:r w:rsidRPr="00094BE8">
        <w:rPr>
          <w:rFonts w:ascii="Arial" w:hAnsi="Arial" w:cs="Arial"/>
          <w:sz w:val="20"/>
          <w:szCs w:val="20"/>
        </w:rPr>
        <w:noBreakHyphen/>
        <w:t>to</w:t>
      </w:r>
      <w:r w:rsidRPr="00094BE8">
        <w:rPr>
          <w:rFonts w:ascii="Arial" w:hAnsi="Arial" w:cs="Arial"/>
          <w:sz w:val="20"/>
          <w:szCs w:val="20"/>
        </w:rPr>
        <w:noBreakHyphen/>
        <w:t xml:space="preserve">medium tears </w:t>
      </w:r>
      <w:r w:rsidR="00AE5ECE">
        <w:rPr>
          <w:rFonts w:ascii="Arial" w:hAnsi="Arial" w:cs="Arial"/>
          <w:color w:val="0000FF"/>
          <w:sz w:val="20"/>
          <w:szCs w:val="20"/>
        </w:rPr>
        <w:t>(</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_Ref230600329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19</w:t>
      </w:r>
      <w:r w:rsidR="00C7093F">
        <w:rPr>
          <w:rFonts w:ascii="Arial" w:hAnsi="Arial" w:cs="Arial"/>
          <w:color w:val="0000FF"/>
          <w:sz w:val="20"/>
          <w:szCs w:val="20"/>
        </w:rPr>
        <w:fldChar w:fldCharType="end"/>
      </w:r>
      <w:r w:rsidR="00AE5ECE" w:rsidRPr="00AE5ECE">
        <w:rPr>
          <w:rFonts w:ascii="Arial" w:hAnsi="Arial" w:cs="Arial"/>
          <w:color w:val="0000FF"/>
          <w:sz w:val="20"/>
          <w:szCs w:val="20"/>
        </w:rPr>
        <w:t>)</w:t>
      </w:r>
      <w:r w:rsidRPr="00094BE8">
        <w:rPr>
          <w:rFonts w:ascii="Arial" w:hAnsi="Arial" w:cs="Arial"/>
          <w:sz w:val="20"/>
          <w:szCs w:val="20"/>
        </w:rPr>
        <w:t>. In our largely homogeneous tear size cohort, tear size did not differ between groups, allowing other factors to emerge. Age was significant in univariate but not multivariate analysis, suggesting that its effect may be mediated through muscle atrophy (older patients having more severe atrophy). This is plausible because age</w:t>
      </w:r>
      <w:r w:rsidRPr="00094BE8">
        <w:rPr>
          <w:rFonts w:ascii="Arial" w:hAnsi="Arial" w:cs="Arial"/>
          <w:sz w:val="20"/>
          <w:szCs w:val="20"/>
        </w:rPr>
        <w:noBreakHyphen/>
        <w:t>related sarcopenia and tendinopathy are well recognised.</w:t>
      </w:r>
    </w:p>
    <w:p w14:paraId="466FAEAD" w14:textId="5E4AA0CD" w:rsid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 xml:space="preserve">The acromiohumeral distance was reduced in the retear group, consistent with reports that AHD &lt;7 mm predicts failed healing </w:t>
      </w:r>
      <w:r w:rsidR="00AE5ECE" w:rsidRPr="00AE5ECE">
        <w:rPr>
          <w:rFonts w:ascii="Arial" w:hAnsi="Arial" w:cs="Arial"/>
          <w:color w:val="0000FF"/>
          <w:sz w:val="20"/>
          <w:szCs w:val="20"/>
        </w:rPr>
        <w:t>(</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_Ref230600080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6</w:t>
      </w:r>
      <w:r w:rsidR="00C7093F">
        <w:rPr>
          <w:rFonts w:ascii="Arial" w:hAnsi="Arial" w:cs="Arial"/>
          <w:color w:val="0000FF"/>
          <w:sz w:val="20"/>
          <w:szCs w:val="20"/>
        </w:rPr>
        <w:fldChar w:fldCharType="end"/>
      </w:r>
      <w:r w:rsidR="00AE5ECE" w:rsidRPr="00AE5ECE">
        <w:rPr>
          <w:rFonts w:ascii="Arial" w:hAnsi="Arial" w:cs="Arial"/>
          <w:color w:val="0000FF"/>
          <w:sz w:val="20"/>
          <w:szCs w:val="20"/>
        </w:rPr>
        <w:t>)</w:t>
      </w:r>
      <w:r w:rsidRPr="00094BE8">
        <w:rPr>
          <w:rFonts w:ascii="Arial" w:hAnsi="Arial" w:cs="Arial"/>
          <w:sz w:val="20"/>
          <w:szCs w:val="20"/>
        </w:rPr>
        <w:t xml:space="preserve">. However, AHD lost significance in multivariate analysis, likely because it is an indirect marker of chronic cuff deficiency and muscle imbalance rather than a direct cause of retear. The extreme odds ratio for </w:t>
      </w:r>
      <w:proofErr w:type="spellStart"/>
      <w:r w:rsidRPr="00094BE8">
        <w:rPr>
          <w:rFonts w:ascii="Arial" w:hAnsi="Arial" w:cs="Arial"/>
          <w:sz w:val="20"/>
          <w:szCs w:val="20"/>
        </w:rPr>
        <w:t>inferoglenohumeral</w:t>
      </w:r>
      <w:proofErr w:type="spellEnd"/>
      <w:r w:rsidRPr="00094BE8">
        <w:rPr>
          <w:rFonts w:ascii="Arial" w:hAnsi="Arial" w:cs="Arial"/>
          <w:sz w:val="20"/>
          <w:szCs w:val="20"/>
        </w:rPr>
        <w:t xml:space="preserve"> distance (IGHD) reflects the small number of patients with large IGHD values, and we caution against clinical use of this parameter based on our data.</w:t>
      </w:r>
    </w:p>
    <w:p w14:paraId="0AE0E3A5" w14:textId="77777777" w:rsidR="004C191D" w:rsidRPr="00094BE8" w:rsidRDefault="004C191D" w:rsidP="00094BE8">
      <w:pPr>
        <w:pStyle w:val="NormalWeb"/>
        <w:spacing w:before="0" w:beforeAutospacing="0" w:after="0" w:afterAutospacing="0"/>
        <w:jc w:val="both"/>
        <w:rPr>
          <w:rFonts w:ascii="Arial" w:hAnsi="Arial" w:cs="Arial"/>
          <w:sz w:val="20"/>
          <w:szCs w:val="20"/>
        </w:rPr>
      </w:pPr>
    </w:p>
    <w:p w14:paraId="7079F69A" w14:textId="77777777" w:rsidR="004C191D" w:rsidRPr="004C191D" w:rsidRDefault="00094BE8" w:rsidP="00094BE8">
      <w:pPr>
        <w:pStyle w:val="NormalWeb"/>
        <w:spacing w:before="0" w:beforeAutospacing="0" w:after="0" w:afterAutospacing="0"/>
        <w:jc w:val="both"/>
        <w:rPr>
          <w:rFonts w:ascii="Arial" w:hAnsi="Arial" w:cs="Arial"/>
          <w:i/>
          <w:iCs/>
          <w:sz w:val="20"/>
          <w:szCs w:val="20"/>
        </w:rPr>
      </w:pPr>
      <w:r w:rsidRPr="004C191D">
        <w:rPr>
          <w:rFonts w:ascii="Arial" w:hAnsi="Arial" w:cs="Arial"/>
          <w:i/>
          <w:iCs/>
          <w:sz w:val="20"/>
          <w:szCs w:val="20"/>
        </w:rPr>
        <w:t>Role of PRF augmentation</w:t>
      </w:r>
    </w:p>
    <w:p w14:paraId="458CF51E" w14:textId="3EF39DD8" w:rsidR="00094BE8" w:rsidRP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 xml:space="preserve">All patients received PRF augmentation, so we cannot compare PRF versus no PRF. However, </w:t>
      </w:r>
      <w:r w:rsidRPr="00094BE8">
        <w:rPr>
          <w:rFonts w:ascii="Arial" w:hAnsi="Arial" w:cs="Arial"/>
          <w:sz w:val="20"/>
          <w:szCs w:val="20"/>
        </w:rPr>
        <w:t xml:space="preserve">our retear rate of 25% at 6 months is comparable to or slightly lower than reported rates for large tears without biological augmentation (which range from 24% to 40% </w:t>
      </w:r>
      <w:r w:rsidR="00AE5ECE" w:rsidRPr="00AE5ECE">
        <w:rPr>
          <w:rFonts w:ascii="Arial" w:hAnsi="Arial" w:cs="Arial"/>
          <w:color w:val="0000FF"/>
          <w:sz w:val="20"/>
          <w:szCs w:val="20"/>
        </w:rPr>
        <w:t>(</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_Ref230599974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3</w:t>
      </w:r>
      <w:r w:rsidR="00C7093F">
        <w:rPr>
          <w:rFonts w:ascii="Arial" w:hAnsi="Arial" w:cs="Arial"/>
          <w:color w:val="0000FF"/>
          <w:sz w:val="20"/>
          <w:szCs w:val="20"/>
        </w:rPr>
        <w:fldChar w:fldCharType="end"/>
      </w:r>
      <w:r w:rsidRPr="00AE5ECE">
        <w:rPr>
          <w:rFonts w:ascii="Arial" w:hAnsi="Arial" w:cs="Arial"/>
          <w:color w:val="0000FF"/>
          <w:sz w:val="20"/>
          <w:szCs w:val="20"/>
        </w:rPr>
        <w:t>,</w:t>
      </w:r>
      <w:r w:rsidR="00AE5ECE" w:rsidRPr="00AE5ECE">
        <w:rPr>
          <w:rFonts w:ascii="Arial" w:hAnsi="Arial" w:cs="Arial"/>
          <w:color w:val="0000FF"/>
          <w:sz w:val="20"/>
          <w:szCs w:val="20"/>
        </w:rPr>
        <w:t xml:space="preserve"> </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_Ref230599980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4</w:t>
      </w:r>
      <w:r w:rsidR="00C7093F">
        <w:rPr>
          <w:rFonts w:ascii="Arial" w:hAnsi="Arial" w:cs="Arial"/>
          <w:color w:val="0000FF"/>
          <w:sz w:val="20"/>
          <w:szCs w:val="20"/>
        </w:rPr>
        <w:fldChar w:fldCharType="end"/>
      </w:r>
      <w:r w:rsidR="00AE5ECE" w:rsidRPr="00AE5ECE">
        <w:rPr>
          <w:rFonts w:ascii="Arial" w:hAnsi="Arial" w:cs="Arial"/>
          <w:color w:val="0000FF"/>
          <w:sz w:val="20"/>
          <w:szCs w:val="20"/>
        </w:rPr>
        <w:t>)</w:t>
      </w:r>
      <w:r w:rsidRPr="00094BE8">
        <w:rPr>
          <w:rFonts w:ascii="Arial" w:hAnsi="Arial" w:cs="Arial"/>
          <w:sz w:val="20"/>
          <w:szCs w:val="20"/>
        </w:rPr>
        <w:t>). This observation is consistent with meta</w:t>
      </w:r>
      <w:r w:rsidRPr="00094BE8">
        <w:rPr>
          <w:rFonts w:ascii="Arial" w:hAnsi="Arial" w:cs="Arial"/>
          <w:sz w:val="20"/>
          <w:szCs w:val="20"/>
        </w:rPr>
        <w:noBreakHyphen/>
        <w:t xml:space="preserve">analyses suggesting that PRP/PRF may reduce retear risk, particularly in larger tears </w:t>
      </w:r>
      <w:r w:rsidR="00AE5ECE" w:rsidRPr="00AE5ECE">
        <w:rPr>
          <w:rFonts w:ascii="Arial" w:hAnsi="Arial" w:cs="Arial"/>
          <w:color w:val="0000FF"/>
          <w:sz w:val="20"/>
          <w:szCs w:val="20"/>
        </w:rPr>
        <w:t>(</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_Ref230600125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12</w:t>
      </w:r>
      <w:r w:rsidR="00C7093F">
        <w:rPr>
          <w:rFonts w:ascii="Arial" w:hAnsi="Arial" w:cs="Arial"/>
          <w:color w:val="0000FF"/>
          <w:sz w:val="20"/>
          <w:szCs w:val="20"/>
        </w:rPr>
        <w:fldChar w:fldCharType="end"/>
      </w:r>
      <w:r w:rsidRPr="00AE5ECE">
        <w:rPr>
          <w:rFonts w:ascii="Arial" w:hAnsi="Arial" w:cs="Arial"/>
          <w:color w:val="0000FF"/>
          <w:sz w:val="20"/>
          <w:szCs w:val="20"/>
        </w:rPr>
        <w:t>,</w:t>
      </w:r>
      <w:r w:rsidR="00AE5ECE" w:rsidRPr="00AE5ECE">
        <w:rPr>
          <w:rFonts w:ascii="Arial" w:hAnsi="Arial" w:cs="Arial"/>
          <w:color w:val="0000FF"/>
          <w:sz w:val="20"/>
          <w:szCs w:val="20"/>
        </w:rPr>
        <w:t xml:space="preserve"> </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_Ref230600133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13</w:t>
      </w:r>
      <w:r w:rsidR="00C7093F">
        <w:rPr>
          <w:rFonts w:ascii="Arial" w:hAnsi="Arial" w:cs="Arial"/>
          <w:color w:val="0000FF"/>
          <w:sz w:val="20"/>
          <w:szCs w:val="20"/>
        </w:rPr>
        <w:fldChar w:fldCharType="end"/>
      </w:r>
      <w:r w:rsidR="00AE5ECE" w:rsidRPr="00AE5ECE">
        <w:rPr>
          <w:rFonts w:ascii="Arial" w:hAnsi="Arial" w:cs="Arial"/>
          <w:color w:val="0000FF"/>
          <w:sz w:val="20"/>
          <w:szCs w:val="20"/>
        </w:rPr>
        <w:t>)</w:t>
      </w:r>
      <w:r w:rsidRPr="00094BE8">
        <w:rPr>
          <w:rFonts w:ascii="Arial" w:hAnsi="Arial" w:cs="Arial"/>
          <w:sz w:val="20"/>
          <w:szCs w:val="20"/>
        </w:rPr>
        <w:t>. Nevertheless, even with PRF, baseline muscle atrophy remains a powerful prognostic factor. PRF likely provides a favourable biological environment but cannot reverse established degenerative changes.</w:t>
      </w:r>
    </w:p>
    <w:p w14:paraId="0F38A7C2" w14:textId="77777777" w:rsidR="004C191D" w:rsidRDefault="004C191D" w:rsidP="00094BE8">
      <w:pPr>
        <w:pStyle w:val="NormalWeb"/>
        <w:spacing w:before="0" w:beforeAutospacing="0" w:after="0" w:afterAutospacing="0"/>
        <w:jc w:val="both"/>
        <w:rPr>
          <w:rFonts w:ascii="Arial" w:hAnsi="Arial" w:cs="Arial"/>
          <w:sz w:val="20"/>
          <w:szCs w:val="20"/>
        </w:rPr>
      </w:pPr>
    </w:p>
    <w:p w14:paraId="0B1CBB0D" w14:textId="68408B9B" w:rsidR="004C191D" w:rsidRPr="004C191D" w:rsidRDefault="00094BE8" w:rsidP="00094BE8">
      <w:pPr>
        <w:pStyle w:val="NormalWeb"/>
        <w:spacing w:before="0" w:beforeAutospacing="0" w:after="0" w:afterAutospacing="0"/>
        <w:jc w:val="both"/>
        <w:rPr>
          <w:rFonts w:ascii="Arial" w:hAnsi="Arial" w:cs="Arial"/>
          <w:i/>
          <w:iCs/>
          <w:sz w:val="20"/>
          <w:szCs w:val="20"/>
        </w:rPr>
      </w:pPr>
      <w:r w:rsidRPr="004C191D">
        <w:rPr>
          <w:rFonts w:ascii="Arial" w:hAnsi="Arial" w:cs="Arial"/>
          <w:i/>
          <w:iCs/>
          <w:sz w:val="20"/>
          <w:szCs w:val="20"/>
        </w:rPr>
        <w:t>Study limitations and future directions</w:t>
      </w:r>
    </w:p>
    <w:p w14:paraId="4BA46AAC" w14:textId="771566FC" w:rsidR="00094BE8" w:rsidRP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This study has several important limitations, largely stemming from the modest sample size and single</w:t>
      </w:r>
      <w:r w:rsidRPr="00094BE8">
        <w:rPr>
          <w:rFonts w:ascii="Arial" w:hAnsi="Arial" w:cs="Arial"/>
          <w:sz w:val="20"/>
          <w:szCs w:val="20"/>
        </w:rPr>
        <w:noBreakHyphen/>
        <w:t>centre design.</w:t>
      </w:r>
    </w:p>
    <w:p w14:paraId="7817310F" w14:textId="77777777" w:rsidR="003A7FCA" w:rsidRDefault="003A7FCA" w:rsidP="00094BE8">
      <w:pPr>
        <w:pStyle w:val="NormalWeb"/>
        <w:spacing w:before="0" w:beforeAutospacing="0" w:after="0" w:afterAutospacing="0"/>
        <w:jc w:val="both"/>
        <w:rPr>
          <w:rFonts w:ascii="Arial" w:hAnsi="Arial" w:cs="Arial"/>
          <w:sz w:val="20"/>
          <w:szCs w:val="20"/>
        </w:rPr>
      </w:pPr>
    </w:p>
    <w:p w14:paraId="6EDF010A" w14:textId="2EBBDCED" w:rsidR="000F4E9D"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Limited statistical power and overfitting risk</w:t>
      </w:r>
    </w:p>
    <w:p w14:paraId="7D9D1C1A" w14:textId="69474996" w:rsidR="00094BE8" w:rsidRP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With only 15 retear events, our multivariate model included four predictors, yielding an events</w:t>
      </w:r>
      <w:r w:rsidRPr="00094BE8">
        <w:rPr>
          <w:rFonts w:ascii="Arial" w:hAnsi="Arial" w:cs="Arial"/>
          <w:sz w:val="20"/>
          <w:szCs w:val="20"/>
        </w:rPr>
        <w:noBreakHyphen/>
        <w:t>per</w:t>
      </w:r>
      <w:r w:rsidRPr="00094BE8">
        <w:rPr>
          <w:rFonts w:ascii="Arial" w:hAnsi="Arial" w:cs="Arial"/>
          <w:sz w:val="20"/>
          <w:szCs w:val="20"/>
        </w:rPr>
        <w:noBreakHyphen/>
        <w:t>variable ratio of 3.75, well below the recommended 10. Consequently, the adjusted odds ratios are imprecise (wide confidence intervals) and may be biased. The extremely wide CI for IGHD in univariate analysis is a classic sign of sparse</w:t>
      </w:r>
      <w:r w:rsidRPr="00094BE8">
        <w:rPr>
          <w:rFonts w:ascii="Arial" w:hAnsi="Arial" w:cs="Arial"/>
          <w:sz w:val="20"/>
          <w:szCs w:val="20"/>
        </w:rPr>
        <w:noBreakHyphen/>
        <w:t>data bias or complete separation. Therefore, our findings should be considered hypothesis</w:t>
      </w:r>
      <w:r w:rsidRPr="00094BE8">
        <w:rPr>
          <w:rFonts w:ascii="Arial" w:hAnsi="Arial" w:cs="Arial"/>
          <w:sz w:val="20"/>
          <w:szCs w:val="20"/>
        </w:rPr>
        <w:noBreakHyphen/>
        <w:t>generating rather than definitive. Future studies should enrol at least 150–200 patients with large tears to achieve adequate power.</w:t>
      </w:r>
    </w:p>
    <w:p w14:paraId="0C86F3BF" w14:textId="77777777" w:rsidR="000F4E9D" w:rsidRDefault="000F4E9D" w:rsidP="00094BE8">
      <w:pPr>
        <w:pStyle w:val="NormalWeb"/>
        <w:spacing w:before="0" w:beforeAutospacing="0" w:after="0" w:afterAutospacing="0"/>
        <w:jc w:val="both"/>
        <w:rPr>
          <w:rFonts w:ascii="Arial" w:hAnsi="Arial" w:cs="Arial"/>
          <w:sz w:val="20"/>
          <w:szCs w:val="20"/>
        </w:rPr>
      </w:pPr>
    </w:p>
    <w:p w14:paraId="24F38BD0" w14:textId="77777777" w:rsidR="000F4E9D"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No external validation or reliability assessment</w:t>
      </w:r>
    </w:p>
    <w:p w14:paraId="0F4C0690" w14:textId="6A2B94AC" w:rsidR="00094BE8" w:rsidRP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The supraspinatus occupation ratio was measured by consensus of two radiologists, but we did not quantify inter</w:t>
      </w:r>
      <w:r w:rsidRPr="00094BE8">
        <w:rPr>
          <w:rFonts w:ascii="Arial" w:hAnsi="Arial" w:cs="Arial"/>
          <w:sz w:val="20"/>
          <w:szCs w:val="20"/>
        </w:rPr>
        <w:noBreakHyphen/>
        <w:t xml:space="preserve"> or </w:t>
      </w:r>
      <w:proofErr w:type="spellStart"/>
      <w:r w:rsidRPr="00094BE8">
        <w:rPr>
          <w:rFonts w:ascii="Arial" w:hAnsi="Arial" w:cs="Arial"/>
          <w:sz w:val="20"/>
          <w:szCs w:val="20"/>
        </w:rPr>
        <w:t>intraobserver</w:t>
      </w:r>
      <w:proofErr w:type="spellEnd"/>
      <w:r w:rsidRPr="00094BE8">
        <w:rPr>
          <w:rFonts w:ascii="Arial" w:hAnsi="Arial" w:cs="Arial"/>
          <w:sz w:val="20"/>
          <w:szCs w:val="20"/>
        </w:rPr>
        <w:t xml:space="preserve"> agreement. This measurement is known to have moderate variability, and our results may not be reproducible in other centres without standardised protocols.</w:t>
      </w:r>
    </w:p>
    <w:p w14:paraId="1E4A858B" w14:textId="77777777" w:rsidR="000F4E9D" w:rsidRDefault="000F4E9D" w:rsidP="00094BE8">
      <w:pPr>
        <w:pStyle w:val="NormalWeb"/>
        <w:spacing w:before="0" w:beforeAutospacing="0" w:after="0" w:afterAutospacing="0"/>
        <w:jc w:val="both"/>
        <w:rPr>
          <w:rFonts w:ascii="Arial" w:hAnsi="Arial" w:cs="Arial"/>
          <w:sz w:val="20"/>
          <w:szCs w:val="20"/>
        </w:rPr>
      </w:pPr>
    </w:p>
    <w:p w14:paraId="16D287E6" w14:textId="77777777" w:rsidR="000F4E9D"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Short follow</w:t>
      </w:r>
      <w:r w:rsidRPr="00094BE8">
        <w:rPr>
          <w:rFonts w:ascii="Arial" w:hAnsi="Arial" w:cs="Arial"/>
          <w:sz w:val="20"/>
          <w:szCs w:val="20"/>
        </w:rPr>
        <w:noBreakHyphen/>
        <w:t>up</w:t>
      </w:r>
    </w:p>
    <w:p w14:paraId="72A47230" w14:textId="110F131E" w:rsidR="00094BE8" w:rsidRPr="00094BE8" w:rsidRDefault="00C9069E" w:rsidP="00094BE8">
      <w:pPr>
        <w:pStyle w:val="NormalWeb"/>
        <w:spacing w:before="0" w:beforeAutospacing="0" w:after="0" w:afterAutospacing="0"/>
        <w:jc w:val="both"/>
        <w:rPr>
          <w:rFonts w:ascii="Arial" w:hAnsi="Arial" w:cs="Arial"/>
          <w:sz w:val="20"/>
          <w:szCs w:val="20"/>
        </w:rPr>
      </w:pPr>
      <w:r>
        <w:rPr>
          <w:rFonts w:ascii="Arial" w:hAnsi="Arial" w:cs="Arial"/>
          <w:sz w:val="20"/>
          <w:szCs w:val="20"/>
        </w:rPr>
        <w:t>A six-month</w:t>
      </w:r>
      <w:r w:rsidR="00094BE8" w:rsidRPr="00094BE8">
        <w:rPr>
          <w:rFonts w:ascii="Arial" w:hAnsi="Arial" w:cs="Arial"/>
          <w:sz w:val="20"/>
          <w:szCs w:val="20"/>
        </w:rPr>
        <w:t xml:space="preserve"> MRI may miss late retears that occur between 6 and 24 months. Longer follow</w:t>
      </w:r>
      <w:r w:rsidR="00094BE8" w:rsidRPr="00094BE8">
        <w:rPr>
          <w:rFonts w:ascii="Arial" w:hAnsi="Arial" w:cs="Arial"/>
          <w:sz w:val="20"/>
          <w:szCs w:val="20"/>
        </w:rPr>
        <w:noBreakHyphen/>
        <w:t xml:space="preserve">up (≥1 year) is recommended for definitive assessment of structural healing </w:t>
      </w:r>
      <w:r w:rsidR="003A7FCA">
        <w:rPr>
          <w:rFonts w:ascii="Arial" w:hAnsi="Arial" w:cs="Arial"/>
          <w:color w:val="0000FF"/>
          <w:sz w:val="20"/>
          <w:szCs w:val="20"/>
        </w:rPr>
        <w:t>(</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_Ref230599987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5</w:t>
      </w:r>
      <w:r w:rsidR="00C7093F">
        <w:rPr>
          <w:rFonts w:ascii="Arial" w:hAnsi="Arial" w:cs="Arial"/>
          <w:color w:val="0000FF"/>
          <w:sz w:val="20"/>
          <w:szCs w:val="20"/>
        </w:rPr>
        <w:fldChar w:fldCharType="end"/>
      </w:r>
      <w:r w:rsidR="003A7FCA" w:rsidRPr="003A7FCA">
        <w:rPr>
          <w:rFonts w:ascii="Arial" w:hAnsi="Arial" w:cs="Arial"/>
          <w:color w:val="0000FF"/>
          <w:sz w:val="20"/>
          <w:szCs w:val="20"/>
        </w:rPr>
        <w:t>)</w:t>
      </w:r>
      <w:r w:rsidR="00094BE8" w:rsidRPr="00094BE8">
        <w:rPr>
          <w:rFonts w:ascii="Arial" w:hAnsi="Arial" w:cs="Arial"/>
          <w:sz w:val="20"/>
          <w:szCs w:val="20"/>
        </w:rPr>
        <w:t>.</w:t>
      </w:r>
    </w:p>
    <w:p w14:paraId="0D364655" w14:textId="77777777" w:rsidR="000F4E9D" w:rsidRDefault="000F4E9D" w:rsidP="00094BE8">
      <w:pPr>
        <w:pStyle w:val="NormalWeb"/>
        <w:spacing w:before="0" w:beforeAutospacing="0" w:after="0" w:afterAutospacing="0"/>
        <w:jc w:val="both"/>
        <w:rPr>
          <w:rFonts w:ascii="Arial" w:hAnsi="Arial" w:cs="Arial"/>
          <w:sz w:val="20"/>
          <w:szCs w:val="20"/>
        </w:rPr>
      </w:pPr>
    </w:p>
    <w:p w14:paraId="36DA4EB0" w14:textId="77777777" w:rsidR="000F4E9D"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 xml:space="preserve">Lack of </w:t>
      </w:r>
      <w:r w:rsidR="00C9069E">
        <w:rPr>
          <w:rFonts w:ascii="Arial" w:hAnsi="Arial" w:cs="Arial"/>
          <w:sz w:val="20"/>
          <w:szCs w:val="20"/>
        </w:rPr>
        <w:t xml:space="preserve">a </w:t>
      </w:r>
      <w:r w:rsidRPr="00094BE8">
        <w:rPr>
          <w:rFonts w:ascii="Arial" w:hAnsi="Arial" w:cs="Arial"/>
          <w:sz w:val="20"/>
          <w:szCs w:val="20"/>
        </w:rPr>
        <w:t>control group</w:t>
      </w:r>
    </w:p>
    <w:p w14:paraId="29BD9E44" w14:textId="5CEACD7E" w:rsidR="00094BE8" w:rsidRP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Because all patients received PRF, we cannot determine whether PRF modified the prognostic effect of muscle atrophy. A randomised controlled trial comparing repair with and without PRF would be needed to answer that question.</w:t>
      </w:r>
    </w:p>
    <w:p w14:paraId="5D0153AF" w14:textId="77777777" w:rsidR="000F4E9D" w:rsidRDefault="000F4E9D" w:rsidP="00094BE8">
      <w:pPr>
        <w:pStyle w:val="NormalWeb"/>
        <w:spacing w:before="0" w:beforeAutospacing="0" w:after="0" w:afterAutospacing="0"/>
        <w:jc w:val="both"/>
        <w:rPr>
          <w:rFonts w:ascii="Arial" w:hAnsi="Arial" w:cs="Arial"/>
          <w:sz w:val="20"/>
          <w:szCs w:val="20"/>
        </w:rPr>
      </w:pPr>
    </w:p>
    <w:p w14:paraId="6D44F2EE" w14:textId="77777777" w:rsidR="000F4E9D"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Missing potential confounders</w:t>
      </w:r>
    </w:p>
    <w:p w14:paraId="6A6D4FDF" w14:textId="37E7A515" w:rsidR="00094BE8" w:rsidRP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 xml:space="preserve">We did not collect data on smoking status, diabetes mellitus, body mass index, bone mineral density, or rehabilitation compliance – all of which may influence tendon healing </w:t>
      </w:r>
      <w:r w:rsidR="003A7FCA" w:rsidRPr="003A7FCA">
        <w:rPr>
          <w:rFonts w:ascii="Arial" w:hAnsi="Arial" w:cs="Arial"/>
          <w:color w:val="0000FF"/>
          <w:sz w:val="20"/>
          <w:szCs w:val="20"/>
        </w:rPr>
        <w:t>(</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_Ref230600101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8</w:t>
      </w:r>
      <w:r w:rsidR="00C7093F">
        <w:rPr>
          <w:rFonts w:ascii="Arial" w:hAnsi="Arial" w:cs="Arial"/>
          <w:color w:val="0000FF"/>
          <w:sz w:val="20"/>
          <w:szCs w:val="20"/>
        </w:rPr>
        <w:fldChar w:fldCharType="end"/>
      </w:r>
      <w:r w:rsidRPr="003A7FCA">
        <w:rPr>
          <w:rFonts w:ascii="Arial" w:hAnsi="Arial" w:cs="Arial"/>
          <w:color w:val="0000FF"/>
          <w:sz w:val="20"/>
          <w:szCs w:val="20"/>
        </w:rPr>
        <w:t>,</w:t>
      </w:r>
      <w:r w:rsidR="003A7FCA" w:rsidRPr="003A7FCA">
        <w:rPr>
          <w:rFonts w:ascii="Arial" w:hAnsi="Arial" w:cs="Arial"/>
          <w:color w:val="0000FF"/>
          <w:sz w:val="20"/>
          <w:szCs w:val="20"/>
        </w:rPr>
        <w:t xml:space="preserve"> </w:t>
      </w:r>
      <w:r w:rsidR="00C7093F">
        <w:rPr>
          <w:rFonts w:ascii="Arial" w:hAnsi="Arial" w:cs="Arial"/>
          <w:color w:val="0000FF"/>
          <w:sz w:val="20"/>
          <w:szCs w:val="20"/>
        </w:rPr>
        <w:fldChar w:fldCharType="begin"/>
      </w:r>
      <w:r w:rsidR="00C7093F">
        <w:rPr>
          <w:rFonts w:ascii="Arial" w:hAnsi="Arial" w:cs="Arial"/>
          <w:color w:val="0000FF"/>
          <w:sz w:val="20"/>
          <w:szCs w:val="20"/>
        </w:rPr>
        <w:instrText xml:space="preserve"> REF _Ref230600329 \r \h </w:instrText>
      </w:r>
      <w:r w:rsidR="00C7093F">
        <w:rPr>
          <w:rFonts w:ascii="Arial" w:hAnsi="Arial" w:cs="Arial"/>
          <w:color w:val="0000FF"/>
          <w:sz w:val="20"/>
          <w:szCs w:val="20"/>
        </w:rPr>
      </w:r>
      <w:r w:rsidR="00C7093F">
        <w:rPr>
          <w:rFonts w:ascii="Arial" w:hAnsi="Arial" w:cs="Arial"/>
          <w:color w:val="0000FF"/>
          <w:sz w:val="20"/>
          <w:szCs w:val="20"/>
        </w:rPr>
        <w:fldChar w:fldCharType="separate"/>
      </w:r>
      <w:r w:rsidR="00C7093F">
        <w:rPr>
          <w:rFonts w:ascii="Arial" w:hAnsi="Arial" w:cs="Arial"/>
          <w:color w:val="0000FF"/>
          <w:sz w:val="20"/>
          <w:szCs w:val="20"/>
        </w:rPr>
        <w:t>19</w:t>
      </w:r>
      <w:r w:rsidR="00C7093F">
        <w:rPr>
          <w:rFonts w:ascii="Arial" w:hAnsi="Arial" w:cs="Arial"/>
          <w:color w:val="0000FF"/>
          <w:sz w:val="20"/>
          <w:szCs w:val="20"/>
        </w:rPr>
        <w:fldChar w:fldCharType="end"/>
      </w:r>
      <w:r w:rsidR="003A7FCA" w:rsidRPr="003A7FCA">
        <w:rPr>
          <w:rFonts w:ascii="Arial" w:hAnsi="Arial" w:cs="Arial"/>
          <w:color w:val="0000FF"/>
          <w:sz w:val="20"/>
          <w:szCs w:val="20"/>
        </w:rPr>
        <w:t>)</w:t>
      </w:r>
      <w:r w:rsidRPr="00094BE8">
        <w:rPr>
          <w:rFonts w:ascii="Arial" w:hAnsi="Arial" w:cs="Arial"/>
          <w:sz w:val="20"/>
          <w:szCs w:val="20"/>
        </w:rPr>
        <w:t>.</w:t>
      </w:r>
    </w:p>
    <w:p w14:paraId="60C78DEF" w14:textId="77777777" w:rsidR="000F4E9D" w:rsidRDefault="000F4E9D" w:rsidP="00094BE8">
      <w:pPr>
        <w:pStyle w:val="NormalWeb"/>
        <w:spacing w:before="0" w:beforeAutospacing="0" w:after="0" w:afterAutospacing="0"/>
        <w:jc w:val="both"/>
        <w:rPr>
          <w:rFonts w:ascii="Arial" w:hAnsi="Arial" w:cs="Arial"/>
          <w:sz w:val="20"/>
          <w:szCs w:val="20"/>
        </w:rPr>
      </w:pPr>
    </w:p>
    <w:p w14:paraId="4680991A" w14:textId="4E7E5D21" w:rsidR="000F4E9D"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lastRenderedPageBreak/>
        <w:t>Generalisability</w:t>
      </w:r>
    </w:p>
    <w:p w14:paraId="7E9E0E8D" w14:textId="02F68608" w:rsidR="00094BE8" w:rsidRP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 xml:space="preserve">The </w:t>
      </w:r>
      <w:proofErr w:type="spellStart"/>
      <w:r w:rsidRPr="00094BE8">
        <w:rPr>
          <w:rFonts w:ascii="Arial" w:hAnsi="Arial" w:cs="Arial"/>
          <w:sz w:val="20"/>
          <w:szCs w:val="20"/>
        </w:rPr>
        <w:t>Vivostat</w:t>
      </w:r>
      <w:proofErr w:type="spellEnd"/>
      <w:r w:rsidRPr="00094BE8">
        <w:rPr>
          <w:rFonts w:ascii="Arial" w:hAnsi="Arial" w:cs="Arial"/>
          <w:sz w:val="20"/>
          <w:szCs w:val="20"/>
        </w:rPr>
        <w:t xml:space="preserve"> system produces a liquid fibrin sealant rather than the solid PRF membrane used in many studies. This may limit comparability with other PRF literature.</w:t>
      </w:r>
    </w:p>
    <w:p w14:paraId="43B5215E" w14:textId="77777777" w:rsidR="00EC40FA" w:rsidRDefault="00EC40FA" w:rsidP="00094BE8">
      <w:pPr>
        <w:pStyle w:val="NormalWeb"/>
        <w:spacing w:before="0" w:beforeAutospacing="0" w:after="0" w:afterAutospacing="0"/>
        <w:jc w:val="both"/>
        <w:rPr>
          <w:rFonts w:ascii="Arial" w:hAnsi="Arial" w:cs="Arial"/>
          <w:sz w:val="20"/>
          <w:szCs w:val="20"/>
        </w:rPr>
      </w:pPr>
    </w:p>
    <w:p w14:paraId="732CCF15" w14:textId="77777777" w:rsidR="00EC40FA" w:rsidRPr="00C4440C" w:rsidRDefault="00094BE8" w:rsidP="00094BE8">
      <w:pPr>
        <w:pStyle w:val="NormalWeb"/>
        <w:spacing w:before="0" w:beforeAutospacing="0" w:after="0" w:afterAutospacing="0"/>
        <w:jc w:val="both"/>
        <w:rPr>
          <w:rFonts w:ascii="Arial" w:hAnsi="Arial" w:cs="Arial"/>
          <w:i/>
          <w:iCs/>
          <w:sz w:val="20"/>
          <w:szCs w:val="20"/>
        </w:rPr>
      </w:pPr>
      <w:r w:rsidRPr="00C4440C">
        <w:rPr>
          <w:rFonts w:ascii="Arial" w:hAnsi="Arial" w:cs="Arial"/>
          <w:i/>
          <w:iCs/>
          <w:sz w:val="20"/>
          <w:szCs w:val="20"/>
        </w:rPr>
        <w:t>Future directions</w:t>
      </w:r>
    </w:p>
    <w:p w14:paraId="10A130AF" w14:textId="4EA03562" w:rsidR="00094BE8" w:rsidRP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Larger multicentre prospective studies with standardised MRI protocols, blinded central reading, and longer follow</w:t>
      </w:r>
      <w:r w:rsidRPr="00094BE8">
        <w:rPr>
          <w:rFonts w:ascii="Arial" w:hAnsi="Arial" w:cs="Arial"/>
          <w:sz w:val="20"/>
          <w:szCs w:val="20"/>
        </w:rPr>
        <w:noBreakHyphen/>
        <w:t>up are required to validate the supraspinatus occupation ratio as a robust clinical tool. Additionally, the interaction between PRF augmentation and muscle quality should be explored in randomised trials. Future research might also incorporate machine learning models that integrate multiple imaging and clinical variables to produce individualised risk predictions.</w:t>
      </w:r>
    </w:p>
    <w:p w14:paraId="12D56DFD" w14:textId="2192F987" w:rsidR="00094BE8" w:rsidRDefault="007656A4" w:rsidP="00094BE8">
      <w:pPr>
        <w:pStyle w:val="NormalWeb"/>
        <w:spacing w:before="0" w:beforeAutospacing="0" w:after="0" w:afterAutospacing="0"/>
        <w:jc w:val="both"/>
        <w:rPr>
          <w:rFonts w:ascii="Arial" w:hAnsi="Arial" w:cs="Arial"/>
          <w:sz w:val="20"/>
          <w:szCs w:val="20"/>
        </w:rPr>
      </w:pPr>
      <w:r>
        <w:rPr>
          <w:rFonts w:ascii="Arial" w:hAnsi="Arial" w:cs="Arial"/>
          <w:noProof/>
          <w:sz w:val="20"/>
          <w:szCs w:val="20"/>
          <w14:ligatures w14:val="standardContextual"/>
        </w:rPr>
        <mc:AlternateContent>
          <mc:Choice Requires="wpi">
            <w:drawing>
              <wp:anchor distT="0" distB="0" distL="114300" distR="114300" simplePos="0" relativeHeight="251662336" behindDoc="0" locked="0" layoutInCell="1" allowOverlap="1" wp14:anchorId="1E7B841D" wp14:editId="168906CC">
                <wp:simplePos x="0" y="0"/>
                <wp:positionH relativeFrom="column">
                  <wp:posOffset>135068</wp:posOffset>
                </wp:positionH>
                <wp:positionV relativeFrom="paragraph">
                  <wp:posOffset>359855</wp:posOffset>
                </wp:positionV>
                <wp:extent cx="360" cy="360"/>
                <wp:effectExtent l="38100" t="38100" r="38100" b="38100"/>
                <wp:wrapNone/>
                <wp:docPr id="110799217" name="Ink 4"/>
                <wp:cNvGraphicFramePr/>
                <a:graphic xmlns:a="http://schemas.openxmlformats.org/drawingml/2006/main">
                  <a:graphicData uri="http://schemas.microsoft.com/office/word/2010/wordprocessingInk">
                    <w14:contentPart bwMode="auto" r:id="rId19">
                      <w14:nvContentPartPr>
                        <w14:cNvContentPartPr/>
                      </w14:nvContentPartPr>
                      <w14:xfrm>
                        <a:off x="0" y="0"/>
                        <a:ext cx="360" cy="360"/>
                      </w14:xfrm>
                    </w14:contentPart>
                  </a:graphicData>
                </a:graphic>
              </wp:anchor>
            </w:drawing>
          </mc:Choice>
          <mc:Fallback>
            <w:pict>
              <v:shape w14:anchorId="12A52E16" id="Ink 4" o:spid="_x0000_s1026" type="#_x0000_t75" style="position:absolute;margin-left:10.15pt;margin-top:27.85pt;width:1.05pt;height:1.0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">
                <v:imagedata r:id="rId20" o:title=""/>
              </v:shape>
            </w:pict>
          </mc:Fallback>
        </mc:AlternateContent>
      </w:r>
      <w:r w:rsidR="00094BE8" w:rsidRPr="00094BE8">
        <w:rPr>
          <w:rFonts w:ascii="Arial" w:hAnsi="Arial" w:cs="Arial"/>
          <w:sz w:val="20"/>
          <w:szCs w:val="20"/>
        </w:rPr>
        <w:t xml:space="preserve">Despite these limitations, the consistency of our </w:t>
      </w:r>
      <w:r w:rsidR="00EC40FA">
        <w:rPr>
          <w:rFonts w:ascii="Arial" w:hAnsi="Arial" w:cs="Arial"/>
          <w:sz w:val="20"/>
          <w:szCs w:val="20"/>
        </w:rPr>
        <w:t>findings</w:t>
      </w:r>
      <w:r w:rsidR="00094BE8" w:rsidRPr="00094BE8">
        <w:rPr>
          <w:rFonts w:ascii="Arial" w:hAnsi="Arial" w:cs="Arial"/>
          <w:sz w:val="20"/>
          <w:szCs w:val="20"/>
        </w:rPr>
        <w:t xml:space="preserve"> with prior work strengthens the argument that preoperative assessment of supraspinatus muscle atrophy is clinically useful. For surgeons, a low occupation ratio (e.g., &lt;45%) should prompt </w:t>
      </w:r>
      <w:r w:rsidR="00EC40FA">
        <w:rPr>
          <w:rFonts w:ascii="Arial" w:hAnsi="Arial" w:cs="Arial"/>
          <w:sz w:val="20"/>
          <w:szCs w:val="20"/>
        </w:rPr>
        <w:t xml:space="preserve">a </w:t>
      </w:r>
      <w:r w:rsidR="00094BE8" w:rsidRPr="00094BE8">
        <w:rPr>
          <w:rFonts w:ascii="Arial" w:hAnsi="Arial" w:cs="Arial"/>
          <w:sz w:val="20"/>
          <w:szCs w:val="20"/>
        </w:rPr>
        <w:t>thorough discussion of retear risk, even when using biological augmentation. For patients, realistic expectations about the likelihood of structural healing can be set based on MRI</w:t>
      </w:r>
      <w:r w:rsidR="00094BE8" w:rsidRPr="00094BE8">
        <w:rPr>
          <w:rFonts w:ascii="Arial" w:hAnsi="Arial" w:cs="Arial"/>
          <w:sz w:val="20"/>
          <w:szCs w:val="20"/>
        </w:rPr>
        <w:noBreakHyphen/>
        <w:t>measured muscle quality.</w:t>
      </w:r>
    </w:p>
    <w:p w14:paraId="35108FD1" w14:textId="77777777" w:rsidR="00EC40FA" w:rsidRPr="00094BE8" w:rsidRDefault="00EC40FA" w:rsidP="00094BE8">
      <w:pPr>
        <w:pStyle w:val="NormalWeb"/>
        <w:spacing w:before="0" w:beforeAutospacing="0" w:after="0" w:afterAutospacing="0"/>
        <w:jc w:val="both"/>
        <w:rPr>
          <w:rFonts w:ascii="Arial" w:hAnsi="Arial" w:cs="Arial"/>
          <w:sz w:val="20"/>
          <w:szCs w:val="20"/>
        </w:rPr>
      </w:pPr>
    </w:p>
    <w:p w14:paraId="108FB777" w14:textId="77777777" w:rsidR="00EC40FA" w:rsidRPr="00EC40FA" w:rsidRDefault="00EC40FA" w:rsidP="00094BE8">
      <w:pPr>
        <w:pStyle w:val="NormalWeb"/>
        <w:spacing w:before="0" w:beforeAutospacing="0" w:after="0" w:afterAutospacing="0"/>
        <w:jc w:val="both"/>
        <w:rPr>
          <w:rFonts w:ascii="Arial" w:hAnsi="Arial" w:cs="Arial"/>
          <w:b/>
          <w:bCs/>
          <w:sz w:val="20"/>
          <w:szCs w:val="20"/>
        </w:rPr>
      </w:pPr>
      <w:r w:rsidRPr="00EC40FA">
        <w:rPr>
          <w:rFonts w:ascii="Arial" w:hAnsi="Arial" w:cs="Arial"/>
          <w:b/>
          <w:bCs/>
          <w:sz w:val="20"/>
          <w:szCs w:val="20"/>
        </w:rPr>
        <w:t>Conclusion</w:t>
      </w:r>
    </w:p>
    <w:p w14:paraId="20E9302B" w14:textId="747E146A" w:rsid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In patients with large rotator cuff tears treated by arthroscopic suture</w:t>
      </w:r>
      <w:r w:rsidRPr="00094BE8">
        <w:rPr>
          <w:rFonts w:ascii="Arial" w:hAnsi="Arial" w:cs="Arial"/>
          <w:sz w:val="20"/>
          <w:szCs w:val="20"/>
        </w:rPr>
        <w:noBreakHyphen/>
        <w:t>bridge repair augmented with PRF, the preoperative supraspinatus occupation ratio on MRI is an independent prognostic factor for tendon healing at 6 months. Patients with greater muscle atrophy (lower occupation ratio) have significantly higher retear risk, regardless of age, fatty infiltration, or acromiohumeral distance. These findings emphasise the importance of preoperative MRI assessment of muscle quality for prognostic counselling. However, due to the small sample size and limited number of retear events, our results should be interpreted as exploratory. Larger validation studies are necessary before clinical implementation as a standalone predictive tool.</w:t>
      </w:r>
    </w:p>
    <w:p w14:paraId="7FB99546" w14:textId="77777777" w:rsidR="00815F25" w:rsidRPr="00094BE8" w:rsidRDefault="00815F25" w:rsidP="00094BE8">
      <w:pPr>
        <w:pStyle w:val="NormalWeb"/>
        <w:spacing w:before="0" w:beforeAutospacing="0" w:after="0" w:afterAutospacing="0"/>
        <w:jc w:val="both"/>
        <w:rPr>
          <w:rFonts w:ascii="Arial" w:hAnsi="Arial" w:cs="Arial"/>
          <w:sz w:val="20"/>
          <w:szCs w:val="20"/>
        </w:rPr>
      </w:pPr>
    </w:p>
    <w:p w14:paraId="4F652765" w14:textId="2C925029" w:rsidR="00DB4EAF" w:rsidRPr="00D627D7" w:rsidRDefault="00D627D7" w:rsidP="00D627D7">
      <w:pPr>
        <w:pStyle w:val="NormalWeb"/>
        <w:spacing w:before="0" w:beforeAutospacing="0" w:after="0" w:afterAutospacing="0"/>
        <w:jc w:val="both"/>
        <w:rPr>
          <w:rFonts w:ascii="Arial" w:hAnsi="Arial" w:cs="Arial"/>
          <w:b/>
          <w:bCs/>
          <w:sz w:val="20"/>
          <w:szCs w:val="20"/>
        </w:rPr>
      </w:pPr>
      <w:r w:rsidRPr="00D627D7">
        <w:rPr>
          <w:rFonts w:ascii="Arial" w:hAnsi="Arial" w:cs="Arial"/>
          <w:b/>
          <w:bCs/>
          <w:sz w:val="20"/>
          <w:szCs w:val="20"/>
        </w:rPr>
        <w:t>List of Abbreviations</w:t>
      </w:r>
    </w:p>
    <w:p w14:paraId="65BDD40F" w14:textId="5438166E" w:rsidR="00DB4EAF" w:rsidRPr="00DB4EAF" w:rsidRDefault="00DB4EAF" w:rsidP="00D627D7">
      <w:pPr>
        <w:pStyle w:val="NormalWeb"/>
        <w:spacing w:before="0" w:beforeAutospacing="0" w:after="0" w:afterAutospacing="0"/>
        <w:jc w:val="both"/>
        <w:rPr>
          <w:rFonts w:ascii="Arial" w:hAnsi="Arial" w:cs="Arial"/>
          <w:sz w:val="20"/>
          <w:szCs w:val="20"/>
        </w:rPr>
      </w:pPr>
      <w:r w:rsidRPr="00DB4EAF">
        <w:rPr>
          <w:rFonts w:ascii="Arial" w:hAnsi="Arial" w:cs="Arial"/>
          <w:sz w:val="20"/>
          <w:szCs w:val="20"/>
        </w:rPr>
        <w:t>AHD</w:t>
      </w:r>
      <w:r w:rsidR="00D627D7">
        <w:rPr>
          <w:rFonts w:ascii="Arial" w:hAnsi="Arial" w:cs="Arial"/>
          <w:sz w:val="20"/>
          <w:szCs w:val="20"/>
        </w:rPr>
        <w:t>:</w:t>
      </w:r>
      <w:r w:rsidR="00C4440C">
        <w:rPr>
          <w:rFonts w:ascii="Arial" w:hAnsi="Arial" w:cs="Arial"/>
          <w:sz w:val="20"/>
          <w:szCs w:val="20"/>
        </w:rPr>
        <w:tab/>
      </w:r>
      <w:r w:rsidRPr="00DB4EAF">
        <w:rPr>
          <w:rFonts w:ascii="Arial" w:hAnsi="Arial" w:cs="Arial"/>
          <w:sz w:val="20"/>
          <w:szCs w:val="20"/>
        </w:rPr>
        <w:t>Acromiohumeral distance</w:t>
      </w:r>
    </w:p>
    <w:p w14:paraId="3E7D2F7F" w14:textId="43090203" w:rsidR="00DB4EAF" w:rsidRPr="00DB4EAF" w:rsidRDefault="00DB4EAF" w:rsidP="00D627D7">
      <w:pPr>
        <w:pStyle w:val="NormalWeb"/>
        <w:spacing w:before="0" w:beforeAutospacing="0" w:after="0" w:afterAutospacing="0"/>
        <w:jc w:val="both"/>
        <w:rPr>
          <w:rFonts w:ascii="Arial" w:hAnsi="Arial" w:cs="Arial"/>
          <w:sz w:val="20"/>
          <w:szCs w:val="20"/>
        </w:rPr>
      </w:pPr>
      <w:r w:rsidRPr="00DB4EAF">
        <w:rPr>
          <w:rFonts w:ascii="Arial" w:hAnsi="Arial" w:cs="Arial"/>
          <w:sz w:val="20"/>
          <w:szCs w:val="20"/>
        </w:rPr>
        <w:t>CI</w:t>
      </w:r>
      <w:r w:rsidR="00D627D7">
        <w:rPr>
          <w:rFonts w:ascii="Arial" w:hAnsi="Arial" w:cs="Arial"/>
          <w:sz w:val="20"/>
          <w:szCs w:val="20"/>
        </w:rPr>
        <w:t>:</w:t>
      </w:r>
      <w:r w:rsidR="00C4440C">
        <w:rPr>
          <w:rFonts w:ascii="Arial" w:hAnsi="Arial" w:cs="Arial"/>
          <w:sz w:val="20"/>
          <w:szCs w:val="20"/>
        </w:rPr>
        <w:tab/>
      </w:r>
      <w:r w:rsidRPr="00DB4EAF">
        <w:rPr>
          <w:rFonts w:ascii="Arial" w:hAnsi="Arial" w:cs="Arial"/>
          <w:sz w:val="20"/>
          <w:szCs w:val="20"/>
        </w:rPr>
        <w:t>Confidence interval</w:t>
      </w:r>
    </w:p>
    <w:p w14:paraId="6393F220" w14:textId="3143AE54" w:rsidR="00DB4EAF" w:rsidRPr="00DB4EAF" w:rsidRDefault="00DB4EAF" w:rsidP="00D627D7">
      <w:pPr>
        <w:pStyle w:val="NormalWeb"/>
        <w:spacing w:before="0" w:beforeAutospacing="0" w:after="0" w:afterAutospacing="0"/>
        <w:jc w:val="both"/>
        <w:rPr>
          <w:rFonts w:ascii="Arial" w:hAnsi="Arial" w:cs="Arial"/>
          <w:sz w:val="20"/>
          <w:szCs w:val="20"/>
        </w:rPr>
      </w:pPr>
      <w:r w:rsidRPr="00DB4EAF">
        <w:rPr>
          <w:rFonts w:ascii="Arial" w:hAnsi="Arial" w:cs="Arial"/>
          <w:sz w:val="20"/>
          <w:szCs w:val="20"/>
        </w:rPr>
        <w:t>FGF</w:t>
      </w:r>
      <w:r w:rsidR="00D627D7">
        <w:rPr>
          <w:rFonts w:ascii="Arial" w:hAnsi="Arial" w:cs="Arial"/>
          <w:sz w:val="20"/>
          <w:szCs w:val="20"/>
        </w:rPr>
        <w:t>:</w:t>
      </w:r>
      <w:r w:rsidR="00C4440C">
        <w:rPr>
          <w:rFonts w:ascii="Arial" w:hAnsi="Arial" w:cs="Arial"/>
          <w:sz w:val="20"/>
          <w:szCs w:val="20"/>
        </w:rPr>
        <w:tab/>
      </w:r>
      <w:r w:rsidRPr="00DB4EAF">
        <w:rPr>
          <w:rFonts w:ascii="Arial" w:hAnsi="Arial" w:cs="Arial"/>
          <w:sz w:val="20"/>
          <w:szCs w:val="20"/>
        </w:rPr>
        <w:t>Fibroblast growth factor</w:t>
      </w:r>
    </w:p>
    <w:p w14:paraId="0AEEBF52" w14:textId="30F3A9D8" w:rsidR="00DB4EAF" w:rsidRPr="00DB4EAF" w:rsidRDefault="00DB4EAF" w:rsidP="00D627D7">
      <w:pPr>
        <w:pStyle w:val="NormalWeb"/>
        <w:spacing w:before="0" w:beforeAutospacing="0" w:after="0" w:afterAutospacing="0"/>
        <w:jc w:val="both"/>
        <w:rPr>
          <w:rFonts w:ascii="Arial" w:hAnsi="Arial" w:cs="Arial"/>
          <w:sz w:val="20"/>
          <w:szCs w:val="20"/>
        </w:rPr>
      </w:pPr>
      <w:r w:rsidRPr="00DB4EAF">
        <w:rPr>
          <w:rFonts w:ascii="Arial" w:hAnsi="Arial" w:cs="Arial"/>
          <w:sz w:val="20"/>
          <w:szCs w:val="20"/>
        </w:rPr>
        <w:t>IGF-1</w:t>
      </w:r>
      <w:r w:rsidR="00D627D7">
        <w:rPr>
          <w:rFonts w:ascii="Arial" w:hAnsi="Arial" w:cs="Arial"/>
          <w:sz w:val="20"/>
          <w:szCs w:val="20"/>
        </w:rPr>
        <w:t>:</w:t>
      </w:r>
      <w:r w:rsidR="00C4440C">
        <w:rPr>
          <w:rFonts w:ascii="Arial" w:hAnsi="Arial" w:cs="Arial"/>
          <w:sz w:val="20"/>
          <w:szCs w:val="20"/>
        </w:rPr>
        <w:tab/>
      </w:r>
      <w:r w:rsidRPr="00DB4EAF">
        <w:rPr>
          <w:rFonts w:ascii="Arial" w:hAnsi="Arial" w:cs="Arial"/>
          <w:sz w:val="20"/>
          <w:szCs w:val="20"/>
        </w:rPr>
        <w:t>Insulin-like growth factor 1</w:t>
      </w:r>
    </w:p>
    <w:p w14:paraId="042E6CC8" w14:textId="1A52583A" w:rsidR="00DB4EAF" w:rsidRPr="00DB4EAF" w:rsidRDefault="00DB4EAF" w:rsidP="00D627D7">
      <w:pPr>
        <w:pStyle w:val="NormalWeb"/>
        <w:spacing w:before="0" w:beforeAutospacing="0" w:after="0" w:afterAutospacing="0"/>
        <w:jc w:val="both"/>
        <w:rPr>
          <w:rFonts w:ascii="Arial" w:hAnsi="Arial" w:cs="Arial"/>
          <w:sz w:val="20"/>
          <w:szCs w:val="20"/>
        </w:rPr>
      </w:pPr>
      <w:r w:rsidRPr="00DB4EAF">
        <w:rPr>
          <w:rFonts w:ascii="Arial" w:hAnsi="Arial" w:cs="Arial"/>
          <w:sz w:val="20"/>
          <w:szCs w:val="20"/>
        </w:rPr>
        <w:t>IGHD</w:t>
      </w:r>
      <w:r w:rsidR="00D627D7">
        <w:rPr>
          <w:rFonts w:ascii="Arial" w:hAnsi="Arial" w:cs="Arial"/>
          <w:sz w:val="20"/>
          <w:szCs w:val="20"/>
        </w:rPr>
        <w:t>:</w:t>
      </w:r>
      <w:r w:rsidR="00C4440C">
        <w:rPr>
          <w:rFonts w:ascii="Arial" w:hAnsi="Arial" w:cs="Arial"/>
          <w:sz w:val="20"/>
          <w:szCs w:val="20"/>
        </w:rPr>
        <w:tab/>
      </w:r>
      <w:proofErr w:type="spellStart"/>
      <w:r w:rsidRPr="00DB4EAF">
        <w:rPr>
          <w:rFonts w:ascii="Arial" w:hAnsi="Arial" w:cs="Arial"/>
          <w:sz w:val="20"/>
          <w:szCs w:val="20"/>
        </w:rPr>
        <w:t>Inferoglenohumeral</w:t>
      </w:r>
      <w:proofErr w:type="spellEnd"/>
      <w:r w:rsidRPr="00DB4EAF">
        <w:rPr>
          <w:rFonts w:ascii="Arial" w:hAnsi="Arial" w:cs="Arial"/>
          <w:sz w:val="20"/>
          <w:szCs w:val="20"/>
        </w:rPr>
        <w:t xml:space="preserve"> distance</w:t>
      </w:r>
    </w:p>
    <w:p w14:paraId="040FECC8" w14:textId="40496B66" w:rsidR="00DB4EAF" w:rsidRPr="00DB4EAF" w:rsidRDefault="00DB4EAF" w:rsidP="00D627D7">
      <w:pPr>
        <w:pStyle w:val="NormalWeb"/>
        <w:spacing w:before="0" w:beforeAutospacing="0" w:after="0" w:afterAutospacing="0"/>
        <w:jc w:val="both"/>
        <w:rPr>
          <w:rFonts w:ascii="Arial" w:hAnsi="Arial" w:cs="Arial"/>
          <w:sz w:val="20"/>
          <w:szCs w:val="20"/>
        </w:rPr>
      </w:pPr>
      <w:r w:rsidRPr="00DB4EAF">
        <w:rPr>
          <w:rFonts w:ascii="Arial" w:hAnsi="Arial" w:cs="Arial"/>
          <w:sz w:val="20"/>
          <w:szCs w:val="20"/>
        </w:rPr>
        <w:t>MRI</w:t>
      </w:r>
      <w:r w:rsidR="00D627D7">
        <w:rPr>
          <w:rFonts w:ascii="Arial" w:hAnsi="Arial" w:cs="Arial"/>
          <w:sz w:val="20"/>
          <w:szCs w:val="20"/>
        </w:rPr>
        <w:t>:</w:t>
      </w:r>
      <w:r w:rsidR="00C4440C">
        <w:rPr>
          <w:rFonts w:ascii="Arial" w:hAnsi="Arial" w:cs="Arial"/>
          <w:sz w:val="20"/>
          <w:szCs w:val="20"/>
        </w:rPr>
        <w:tab/>
      </w:r>
      <w:r w:rsidRPr="00DB4EAF">
        <w:rPr>
          <w:rFonts w:ascii="Arial" w:hAnsi="Arial" w:cs="Arial"/>
          <w:sz w:val="20"/>
          <w:szCs w:val="20"/>
        </w:rPr>
        <w:t>Magnetic resonance imaging</w:t>
      </w:r>
    </w:p>
    <w:p w14:paraId="71FB6A01" w14:textId="2134C11A" w:rsidR="00DB4EAF" w:rsidRPr="00DB4EAF" w:rsidRDefault="00DB4EAF" w:rsidP="00D627D7">
      <w:pPr>
        <w:pStyle w:val="NormalWeb"/>
        <w:spacing w:before="0" w:beforeAutospacing="0" w:after="0" w:afterAutospacing="0"/>
        <w:jc w:val="both"/>
        <w:rPr>
          <w:rFonts w:ascii="Arial" w:hAnsi="Arial" w:cs="Arial"/>
          <w:sz w:val="20"/>
          <w:szCs w:val="20"/>
        </w:rPr>
      </w:pPr>
      <w:r w:rsidRPr="00DB4EAF">
        <w:rPr>
          <w:rFonts w:ascii="Arial" w:hAnsi="Arial" w:cs="Arial"/>
          <w:sz w:val="20"/>
          <w:szCs w:val="20"/>
        </w:rPr>
        <w:t>OR</w:t>
      </w:r>
      <w:r w:rsidR="00D627D7">
        <w:rPr>
          <w:rFonts w:ascii="Arial" w:hAnsi="Arial" w:cs="Arial"/>
          <w:sz w:val="20"/>
          <w:szCs w:val="20"/>
        </w:rPr>
        <w:t>:</w:t>
      </w:r>
      <w:r w:rsidR="00C4440C">
        <w:rPr>
          <w:rFonts w:ascii="Arial" w:hAnsi="Arial" w:cs="Arial"/>
          <w:sz w:val="20"/>
          <w:szCs w:val="20"/>
        </w:rPr>
        <w:tab/>
      </w:r>
      <w:r w:rsidRPr="00DB4EAF">
        <w:rPr>
          <w:rFonts w:ascii="Arial" w:hAnsi="Arial" w:cs="Arial"/>
          <w:sz w:val="20"/>
          <w:szCs w:val="20"/>
        </w:rPr>
        <w:t>Odds ratio</w:t>
      </w:r>
    </w:p>
    <w:p w14:paraId="551E8ECA" w14:textId="6E1CA8F6" w:rsidR="00DB4EAF" w:rsidRPr="00DB4EAF" w:rsidRDefault="00DB4EAF" w:rsidP="00D627D7">
      <w:pPr>
        <w:pStyle w:val="NormalWeb"/>
        <w:spacing w:before="0" w:beforeAutospacing="0" w:after="0" w:afterAutospacing="0"/>
        <w:jc w:val="both"/>
        <w:rPr>
          <w:rFonts w:ascii="Arial" w:hAnsi="Arial" w:cs="Arial"/>
          <w:sz w:val="20"/>
          <w:szCs w:val="20"/>
        </w:rPr>
      </w:pPr>
      <w:r w:rsidRPr="00DB4EAF">
        <w:rPr>
          <w:rFonts w:ascii="Arial" w:hAnsi="Arial" w:cs="Arial"/>
          <w:sz w:val="20"/>
          <w:szCs w:val="20"/>
        </w:rPr>
        <w:t>PDGF</w:t>
      </w:r>
      <w:r w:rsidR="00D627D7">
        <w:rPr>
          <w:rFonts w:ascii="Arial" w:hAnsi="Arial" w:cs="Arial"/>
          <w:sz w:val="20"/>
          <w:szCs w:val="20"/>
        </w:rPr>
        <w:t>:</w:t>
      </w:r>
      <w:r w:rsidR="00C4440C">
        <w:rPr>
          <w:rFonts w:ascii="Arial" w:hAnsi="Arial" w:cs="Arial"/>
          <w:sz w:val="20"/>
          <w:szCs w:val="20"/>
        </w:rPr>
        <w:tab/>
      </w:r>
      <w:r w:rsidRPr="00DB4EAF">
        <w:rPr>
          <w:rFonts w:ascii="Arial" w:hAnsi="Arial" w:cs="Arial"/>
          <w:sz w:val="20"/>
          <w:szCs w:val="20"/>
        </w:rPr>
        <w:t>Platelet-derived growth factor</w:t>
      </w:r>
    </w:p>
    <w:p w14:paraId="1058C0EA" w14:textId="532396FF" w:rsidR="00DB4EAF" w:rsidRPr="00DB4EAF" w:rsidRDefault="00DB4EAF" w:rsidP="00D627D7">
      <w:pPr>
        <w:pStyle w:val="NormalWeb"/>
        <w:spacing w:before="0" w:beforeAutospacing="0" w:after="0" w:afterAutospacing="0"/>
        <w:jc w:val="both"/>
        <w:rPr>
          <w:rFonts w:ascii="Arial" w:hAnsi="Arial" w:cs="Arial"/>
          <w:sz w:val="20"/>
          <w:szCs w:val="20"/>
        </w:rPr>
      </w:pPr>
      <w:r w:rsidRPr="00DB4EAF">
        <w:rPr>
          <w:rFonts w:ascii="Arial" w:hAnsi="Arial" w:cs="Arial"/>
          <w:sz w:val="20"/>
          <w:szCs w:val="20"/>
        </w:rPr>
        <w:t>PRF</w:t>
      </w:r>
      <w:r w:rsidR="00D627D7">
        <w:rPr>
          <w:rFonts w:ascii="Arial" w:hAnsi="Arial" w:cs="Arial"/>
          <w:sz w:val="20"/>
          <w:szCs w:val="20"/>
        </w:rPr>
        <w:t>:</w:t>
      </w:r>
      <w:r w:rsidR="00C4440C">
        <w:rPr>
          <w:rFonts w:ascii="Arial" w:hAnsi="Arial" w:cs="Arial"/>
          <w:sz w:val="20"/>
          <w:szCs w:val="20"/>
        </w:rPr>
        <w:tab/>
      </w:r>
      <w:r w:rsidRPr="00DB4EAF">
        <w:rPr>
          <w:rFonts w:ascii="Arial" w:hAnsi="Arial" w:cs="Arial"/>
          <w:sz w:val="20"/>
          <w:szCs w:val="20"/>
        </w:rPr>
        <w:t>Platelet-rich fibrin</w:t>
      </w:r>
    </w:p>
    <w:p w14:paraId="37ED8934" w14:textId="0BCE210D" w:rsidR="00DB4EAF" w:rsidRPr="00DB4EAF" w:rsidRDefault="00DB4EAF" w:rsidP="00D627D7">
      <w:pPr>
        <w:pStyle w:val="NormalWeb"/>
        <w:spacing w:before="0" w:beforeAutospacing="0" w:after="0" w:afterAutospacing="0"/>
        <w:jc w:val="both"/>
        <w:rPr>
          <w:rFonts w:ascii="Arial" w:hAnsi="Arial" w:cs="Arial"/>
          <w:sz w:val="20"/>
          <w:szCs w:val="20"/>
        </w:rPr>
      </w:pPr>
      <w:r w:rsidRPr="00DB4EAF">
        <w:rPr>
          <w:rFonts w:ascii="Arial" w:hAnsi="Arial" w:cs="Arial"/>
          <w:sz w:val="20"/>
          <w:szCs w:val="20"/>
        </w:rPr>
        <w:t>PRP</w:t>
      </w:r>
      <w:r w:rsidR="00D627D7">
        <w:rPr>
          <w:rFonts w:ascii="Arial" w:hAnsi="Arial" w:cs="Arial"/>
          <w:sz w:val="20"/>
          <w:szCs w:val="20"/>
        </w:rPr>
        <w:t>:</w:t>
      </w:r>
      <w:r w:rsidR="00C4440C">
        <w:rPr>
          <w:rFonts w:ascii="Arial" w:hAnsi="Arial" w:cs="Arial"/>
          <w:sz w:val="20"/>
          <w:szCs w:val="20"/>
        </w:rPr>
        <w:tab/>
      </w:r>
      <w:r w:rsidRPr="00DB4EAF">
        <w:rPr>
          <w:rFonts w:ascii="Arial" w:hAnsi="Arial" w:cs="Arial"/>
          <w:sz w:val="20"/>
          <w:szCs w:val="20"/>
        </w:rPr>
        <w:t>Platelet-rich plasma</w:t>
      </w:r>
    </w:p>
    <w:p w14:paraId="2EB57293" w14:textId="003BB600" w:rsidR="00DB4EAF" w:rsidRPr="00DB4EAF" w:rsidRDefault="00DB4EAF" w:rsidP="00D627D7">
      <w:pPr>
        <w:pStyle w:val="NormalWeb"/>
        <w:spacing w:before="0" w:beforeAutospacing="0" w:after="0" w:afterAutospacing="0"/>
        <w:jc w:val="both"/>
        <w:rPr>
          <w:rFonts w:ascii="Arial" w:hAnsi="Arial" w:cs="Arial"/>
          <w:sz w:val="20"/>
          <w:szCs w:val="20"/>
        </w:rPr>
      </w:pPr>
      <w:r w:rsidRPr="00DB4EAF">
        <w:rPr>
          <w:rFonts w:ascii="Arial" w:hAnsi="Arial" w:cs="Arial"/>
          <w:sz w:val="20"/>
          <w:szCs w:val="20"/>
        </w:rPr>
        <w:t>SD</w:t>
      </w:r>
      <w:r w:rsidR="00D627D7">
        <w:rPr>
          <w:rFonts w:ascii="Arial" w:hAnsi="Arial" w:cs="Arial"/>
          <w:sz w:val="20"/>
          <w:szCs w:val="20"/>
        </w:rPr>
        <w:t>:</w:t>
      </w:r>
      <w:r w:rsidR="00C4440C">
        <w:rPr>
          <w:rFonts w:ascii="Arial" w:hAnsi="Arial" w:cs="Arial"/>
          <w:sz w:val="20"/>
          <w:szCs w:val="20"/>
        </w:rPr>
        <w:tab/>
      </w:r>
      <w:r w:rsidRPr="00DB4EAF">
        <w:rPr>
          <w:rFonts w:ascii="Arial" w:hAnsi="Arial" w:cs="Arial"/>
          <w:sz w:val="20"/>
          <w:szCs w:val="20"/>
        </w:rPr>
        <w:t>Standard deviation</w:t>
      </w:r>
    </w:p>
    <w:p w14:paraId="01F92D59" w14:textId="5FB08571" w:rsidR="00DB4EAF" w:rsidRPr="00DB4EAF" w:rsidRDefault="00DB4EAF" w:rsidP="00D627D7">
      <w:pPr>
        <w:pStyle w:val="NormalWeb"/>
        <w:spacing w:before="0" w:beforeAutospacing="0" w:after="0" w:afterAutospacing="0"/>
        <w:jc w:val="both"/>
        <w:rPr>
          <w:rFonts w:ascii="Arial" w:hAnsi="Arial" w:cs="Arial"/>
          <w:sz w:val="20"/>
          <w:szCs w:val="20"/>
        </w:rPr>
      </w:pPr>
      <w:r w:rsidRPr="00DB4EAF">
        <w:rPr>
          <w:rFonts w:ascii="Arial" w:hAnsi="Arial" w:cs="Arial"/>
          <w:sz w:val="20"/>
          <w:szCs w:val="20"/>
        </w:rPr>
        <w:t>TGF-β</w:t>
      </w:r>
      <w:r w:rsidR="00D627D7">
        <w:rPr>
          <w:rFonts w:ascii="Arial" w:hAnsi="Arial" w:cs="Arial"/>
          <w:sz w:val="20"/>
          <w:szCs w:val="20"/>
        </w:rPr>
        <w:t>:</w:t>
      </w:r>
      <w:r w:rsidR="00C4440C">
        <w:rPr>
          <w:rFonts w:ascii="Arial" w:hAnsi="Arial" w:cs="Arial"/>
          <w:sz w:val="20"/>
          <w:szCs w:val="20"/>
        </w:rPr>
        <w:tab/>
      </w:r>
      <w:r w:rsidRPr="00DB4EAF">
        <w:rPr>
          <w:rFonts w:ascii="Arial" w:hAnsi="Arial" w:cs="Arial"/>
          <w:sz w:val="20"/>
          <w:szCs w:val="20"/>
        </w:rPr>
        <w:t>Transforming growth factor beta</w:t>
      </w:r>
    </w:p>
    <w:p w14:paraId="3AD30818" w14:textId="0FE694A4" w:rsidR="00DB4EAF" w:rsidRDefault="00DB4EAF" w:rsidP="00D627D7">
      <w:pPr>
        <w:pStyle w:val="NormalWeb"/>
        <w:spacing w:before="0" w:beforeAutospacing="0" w:after="0" w:afterAutospacing="0"/>
        <w:jc w:val="both"/>
        <w:rPr>
          <w:rFonts w:ascii="Arial" w:hAnsi="Arial" w:cs="Arial"/>
          <w:sz w:val="20"/>
          <w:szCs w:val="20"/>
        </w:rPr>
      </w:pPr>
      <w:r w:rsidRPr="00DB4EAF">
        <w:rPr>
          <w:rFonts w:ascii="Arial" w:hAnsi="Arial" w:cs="Arial"/>
          <w:sz w:val="20"/>
          <w:szCs w:val="20"/>
        </w:rPr>
        <w:t>VEGF</w:t>
      </w:r>
      <w:r w:rsidR="00D627D7">
        <w:rPr>
          <w:rFonts w:ascii="Arial" w:hAnsi="Arial" w:cs="Arial"/>
          <w:sz w:val="20"/>
          <w:szCs w:val="20"/>
        </w:rPr>
        <w:t>:</w:t>
      </w:r>
      <w:r w:rsidR="00C4440C">
        <w:rPr>
          <w:rFonts w:ascii="Arial" w:hAnsi="Arial" w:cs="Arial"/>
          <w:sz w:val="20"/>
          <w:szCs w:val="20"/>
        </w:rPr>
        <w:tab/>
      </w:r>
      <w:r w:rsidRPr="00DB4EAF">
        <w:rPr>
          <w:rFonts w:ascii="Arial" w:hAnsi="Arial" w:cs="Arial"/>
          <w:sz w:val="20"/>
          <w:szCs w:val="20"/>
        </w:rPr>
        <w:t>Vascular endothelial growth factor</w:t>
      </w:r>
    </w:p>
    <w:p w14:paraId="540E83BA" w14:textId="77777777" w:rsidR="00DB4EAF" w:rsidRDefault="00DB4EAF" w:rsidP="00094BE8">
      <w:pPr>
        <w:pStyle w:val="NormalWeb"/>
        <w:spacing w:before="0" w:beforeAutospacing="0" w:after="0" w:afterAutospacing="0"/>
        <w:jc w:val="both"/>
        <w:rPr>
          <w:rFonts w:ascii="Arial" w:hAnsi="Arial" w:cs="Arial"/>
          <w:sz w:val="20"/>
          <w:szCs w:val="20"/>
        </w:rPr>
      </w:pPr>
    </w:p>
    <w:p w14:paraId="43DEB380" w14:textId="771C77B7" w:rsidR="00AA73BA" w:rsidRPr="00C4440C" w:rsidRDefault="00AA73BA" w:rsidP="00094BE8">
      <w:pPr>
        <w:pStyle w:val="NormalWeb"/>
        <w:spacing w:before="0" w:beforeAutospacing="0" w:after="0" w:afterAutospacing="0"/>
        <w:jc w:val="both"/>
        <w:rPr>
          <w:rFonts w:ascii="Arial" w:hAnsi="Arial" w:cs="Arial"/>
          <w:b/>
          <w:bCs/>
          <w:sz w:val="20"/>
          <w:szCs w:val="20"/>
        </w:rPr>
      </w:pPr>
      <w:r w:rsidRPr="00C4440C">
        <w:rPr>
          <w:rFonts w:ascii="Arial" w:hAnsi="Arial" w:cs="Arial"/>
          <w:b/>
          <w:bCs/>
          <w:sz w:val="20"/>
          <w:szCs w:val="20"/>
        </w:rPr>
        <w:t>Declarations</w:t>
      </w:r>
    </w:p>
    <w:p w14:paraId="50004AE6" w14:textId="77777777" w:rsidR="00AA73BA" w:rsidRDefault="00094BE8" w:rsidP="00094BE8">
      <w:pPr>
        <w:pStyle w:val="NormalWeb"/>
        <w:spacing w:before="0" w:beforeAutospacing="0" w:after="0" w:afterAutospacing="0"/>
        <w:jc w:val="both"/>
        <w:rPr>
          <w:rFonts w:ascii="Arial" w:hAnsi="Arial" w:cs="Arial"/>
          <w:i/>
          <w:iCs/>
          <w:sz w:val="20"/>
          <w:szCs w:val="20"/>
        </w:rPr>
      </w:pPr>
      <w:r w:rsidRPr="00AA73BA">
        <w:rPr>
          <w:rFonts w:ascii="Arial" w:hAnsi="Arial" w:cs="Arial"/>
          <w:i/>
          <w:iCs/>
          <w:sz w:val="20"/>
          <w:szCs w:val="20"/>
        </w:rPr>
        <w:t>Ethics approval and consent to participate</w:t>
      </w:r>
    </w:p>
    <w:p w14:paraId="2CE9B05F" w14:textId="2B0581AC" w:rsidR="00094BE8" w:rsidRDefault="00094BE8" w:rsidP="00094BE8">
      <w:pPr>
        <w:pStyle w:val="NormalWeb"/>
        <w:spacing w:before="0" w:beforeAutospacing="0" w:after="0" w:afterAutospacing="0"/>
        <w:jc w:val="both"/>
        <w:rPr>
          <w:rFonts w:ascii="Arial" w:hAnsi="Arial" w:cs="Arial"/>
          <w:sz w:val="20"/>
          <w:szCs w:val="20"/>
        </w:rPr>
      </w:pPr>
      <w:r w:rsidRPr="00504B2A">
        <w:rPr>
          <w:rFonts w:ascii="Arial" w:hAnsi="Arial" w:cs="Arial"/>
          <w:sz w:val="20"/>
          <w:szCs w:val="20"/>
        </w:rPr>
        <w:t xml:space="preserve">This study was approved by the Institutional Review Board of Viet Duc University Hospital (Approval No. </w:t>
      </w:r>
      <w:r w:rsidR="00E64C18" w:rsidRPr="00504B2A">
        <w:rPr>
          <w:rFonts w:ascii="Arial" w:hAnsi="Arial" w:cs="Arial"/>
          <w:sz w:val="20"/>
          <w:szCs w:val="20"/>
        </w:rPr>
        <w:t>Approval No. 1697/GCN-HMUIRB, dated 17/4/2025</w:t>
      </w:r>
      <w:r w:rsidRPr="00504B2A">
        <w:rPr>
          <w:rFonts w:ascii="Arial" w:hAnsi="Arial" w:cs="Arial"/>
          <w:sz w:val="20"/>
          <w:szCs w:val="20"/>
        </w:rPr>
        <w:t xml:space="preserve">). All procedures performed were in accordance </w:t>
      </w:r>
      <w:r w:rsidRPr="00094BE8">
        <w:rPr>
          <w:rFonts w:ascii="Arial" w:hAnsi="Arial" w:cs="Arial"/>
          <w:sz w:val="20"/>
          <w:szCs w:val="20"/>
        </w:rPr>
        <w:t>with the ethical standards of the institutional research committee and with the 1964 Helsinki declaration and its later amendments. Informed consent was obtained from all individual participants included in the study.</w:t>
      </w:r>
    </w:p>
    <w:p w14:paraId="46F6B994" w14:textId="77777777" w:rsidR="00AA73BA" w:rsidRPr="00094BE8" w:rsidRDefault="00AA73BA" w:rsidP="00094BE8">
      <w:pPr>
        <w:pStyle w:val="NormalWeb"/>
        <w:spacing w:before="0" w:beforeAutospacing="0" w:after="0" w:afterAutospacing="0"/>
        <w:jc w:val="both"/>
        <w:rPr>
          <w:rFonts w:ascii="Arial" w:hAnsi="Arial" w:cs="Arial"/>
          <w:sz w:val="20"/>
          <w:szCs w:val="20"/>
        </w:rPr>
      </w:pPr>
    </w:p>
    <w:p w14:paraId="54328750" w14:textId="77777777" w:rsidR="00AA73BA" w:rsidRDefault="00094BE8" w:rsidP="00094BE8">
      <w:pPr>
        <w:pStyle w:val="NormalWeb"/>
        <w:spacing w:before="0" w:beforeAutospacing="0" w:after="0" w:afterAutospacing="0"/>
        <w:jc w:val="both"/>
        <w:rPr>
          <w:rFonts w:ascii="Arial" w:hAnsi="Arial" w:cs="Arial"/>
          <w:i/>
          <w:iCs/>
          <w:sz w:val="20"/>
          <w:szCs w:val="20"/>
        </w:rPr>
      </w:pPr>
      <w:r w:rsidRPr="00AA73BA">
        <w:rPr>
          <w:rFonts w:ascii="Arial" w:hAnsi="Arial" w:cs="Arial"/>
          <w:i/>
          <w:iCs/>
          <w:sz w:val="20"/>
          <w:szCs w:val="20"/>
        </w:rPr>
        <w:t>Consent for publication</w:t>
      </w:r>
    </w:p>
    <w:p w14:paraId="1C2002AF" w14:textId="141A68C8" w:rsid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All authors gave consent for the publication of this work under the Creative Commons Attribution Non</w:t>
      </w:r>
      <w:r w:rsidRPr="00094BE8">
        <w:rPr>
          <w:rFonts w:ascii="Arial" w:hAnsi="Arial" w:cs="Arial"/>
          <w:sz w:val="20"/>
          <w:szCs w:val="20"/>
        </w:rPr>
        <w:noBreakHyphen/>
        <w:t>Commercial 4.0 license.</w:t>
      </w:r>
    </w:p>
    <w:p w14:paraId="41334FBB" w14:textId="77777777" w:rsidR="00F92A0C" w:rsidRPr="00094BE8" w:rsidRDefault="00F92A0C" w:rsidP="00094BE8">
      <w:pPr>
        <w:pStyle w:val="NormalWeb"/>
        <w:spacing w:before="0" w:beforeAutospacing="0" w:after="0" w:afterAutospacing="0"/>
        <w:jc w:val="both"/>
        <w:rPr>
          <w:rFonts w:ascii="Arial" w:hAnsi="Arial" w:cs="Arial"/>
          <w:sz w:val="20"/>
          <w:szCs w:val="20"/>
        </w:rPr>
      </w:pPr>
    </w:p>
    <w:p w14:paraId="41815590" w14:textId="77777777" w:rsidR="00F92A0C" w:rsidRDefault="00094BE8" w:rsidP="00094BE8">
      <w:pPr>
        <w:pStyle w:val="NormalWeb"/>
        <w:spacing w:before="0" w:beforeAutospacing="0" w:after="0" w:afterAutospacing="0"/>
        <w:jc w:val="both"/>
        <w:rPr>
          <w:rFonts w:ascii="Arial" w:hAnsi="Arial" w:cs="Arial"/>
          <w:i/>
          <w:iCs/>
          <w:sz w:val="20"/>
          <w:szCs w:val="20"/>
        </w:rPr>
      </w:pPr>
      <w:r w:rsidRPr="00F92A0C">
        <w:rPr>
          <w:rFonts w:ascii="Arial" w:hAnsi="Arial" w:cs="Arial"/>
          <w:i/>
          <w:iCs/>
          <w:sz w:val="20"/>
          <w:szCs w:val="20"/>
        </w:rPr>
        <w:t>Data availability</w:t>
      </w:r>
    </w:p>
    <w:p w14:paraId="1313A2B5" w14:textId="1C06874D" w:rsid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The datasets generated and analysed during the current study are available from the corresponding author on reasonable request, subject to institutional review board approval.</w:t>
      </w:r>
    </w:p>
    <w:p w14:paraId="65C2B908" w14:textId="77777777" w:rsidR="00F92A0C" w:rsidRPr="00094BE8" w:rsidRDefault="00F92A0C" w:rsidP="00094BE8">
      <w:pPr>
        <w:pStyle w:val="NormalWeb"/>
        <w:spacing w:before="0" w:beforeAutospacing="0" w:after="0" w:afterAutospacing="0"/>
        <w:jc w:val="both"/>
        <w:rPr>
          <w:rFonts w:ascii="Arial" w:hAnsi="Arial" w:cs="Arial"/>
          <w:sz w:val="20"/>
          <w:szCs w:val="20"/>
        </w:rPr>
      </w:pPr>
    </w:p>
    <w:p w14:paraId="008F13C7" w14:textId="77777777" w:rsidR="00F92A0C" w:rsidRPr="00F92A0C" w:rsidRDefault="00094BE8" w:rsidP="00094BE8">
      <w:pPr>
        <w:pStyle w:val="NormalWeb"/>
        <w:spacing w:before="0" w:beforeAutospacing="0" w:after="0" w:afterAutospacing="0"/>
        <w:jc w:val="both"/>
        <w:rPr>
          <w:rFonts w:ascii="Arial" w:hAnsi="Arial" w:cs="Arial"/>
          <w:i/>
          <w:iCs/>
          <w:sz w:val="20"/>
          <w:szCs w:val="20"/>
        </w:rPr>
      </w:pPr>
      <w:r w:rsidRPr="00F92A0C">
        <w:rPr>
          <w:rFonts w:ascii="Arial" w:hAnsi="Arial" w:cs="Arial"/>
          <w:i/>
          <w:iCs/>
          <w:sz w:val="20"/>
          <w:szCs w:val="20"/>
        </w:rPr>
        <w:t>Competing interests</w:t>
      </w:r>
    </w:p>
    <w:p w14:paraId="7355B6E5" w14:textId="6FAAA529" w:rsid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The authors declare that they have no competing interests. No financial or non</w:t>
      </w:r>
      <w:r w:rsidRPr="00094BE8">
        <w:rPr>
          <w:rFonts w:ascii="Arial" w:hAnsi="Arial" w:cs="Arial"/>
          <w:sz w:val="20"/>
          <w:szCs w:val="20"/>
        </w:rPr>
        <w:noBreakHyphen/>
        <w:t>financial relationships exist that could be perceived as influencing the results or interpretation of this manuscript.</w:t>
      </w:r>
    </w:p>
    <w:p w14:paraId="089D88E6" w14:textId="77777777" w:rsidR="00F92A0C" w:rsidRPr="00094BE8" w:rsidRDefault="00F92A0C" w:rsidP="00094BE8">
      <w:pPr>
        <w:pStyle w:val="NormalWeb"/>
        <w:spacing w:before="0" w:beforeAutospacing="0" w:after="0" w:afterAutospacing="0"/>
        <w:jc w:val="both"/>
        <w:rPr>
          <w:rFonts w:ascii="Arial" w:hAnsi="Arial" w:cs="Arial"/>
          <w:sz w:val="20"/>
          <w:szCs w:val="20"/>
        </w:rPr>
      </w:pPr>
    </w:p>
    <w:p w14:paraId="31E184D0" w14:textId="41394148" w:rsidR="00F92A0C" w:rsidRPr="00F92A0C" w:rsidRDefault="00094BE8" w:rsidP="00094BE8">
      <w:pPr>
        <w:pStyle w:val="NormalWeb"/>
        <w:spacing w:before="0" w:beforeAutospacing="0" w:after="0" w:afterAutospacing="0"/>
        <w:jc w:val="both"/>
        <w:rPr>
          <w:rFonts w:ascii="Arial" w:hAnsi="Arial" w:cs="Arial"/>
          <w:i/>
          <w:iCs/>
          <w:sz w:val="20"/>
          <w:szCs w:val="20"/>
        </w:rPr>
      </w:pPr>
      <w:r w:rsidRPr="00F92A0C">
        <w:rPr>
          <w:rFonts w:ascii="Arial" w:hAnsi="Arial" w:cs="Arial"/>
          <w:i/>
          <w:iCs/>
          <w:sz w:val="20"/>
          <w:szCs w:val="20"/>
        </w:rPr>
        <w:t>Funding</w:t>
      </w:r>
    </w:p>
    <w:p w14:paraId="3A56516C" w14:textId="7D89FDFB" w:rsid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This research received no specific grant from any funding agency in the public, commercial, or not</w:t>
      </w:r>
      <w:r w:rsidRPr="00094BE8">
        <w:rPr>
          <w:rFonts w:ascii="Arial" w:hAnsi="Arial" w:cs="Arial"/>
          <w:sz w:val="20"/>
          <w:szCs w:val="20"/>
        </w:rPr>
        <w:noBreakHyphen/>
        <w:t>for</w:t>
      </w:r>
      <w:r w:rsidRPr="00094BE8">
        <w:rPr>
          <w:rFonts w:ascii="Arial" w:hAnsi="Arial" w:cs="Arial"/>
          <w:sz w:val="20"/>
          <w:szCs w:val="20"/>
        </w:rPr>
        <w:noBreakHyphen/>
        <w:t>profit sectors.</w:t>
      </w:r>
    </w:p>
    <w:p w14:paraId="273A37A5" w14:textId="77777777" w:rsidR="00F92A0C" w:rsidRPr="00094BE8" w:rsidRDefault="00F92A0C" w:rsidP="00094BE8">
      <w:pPr>
        <w:pStyle w:val="NormalWeb"/>
        <w:spacing w:before="0" w:beforeAutospacing="0" w:after="0" w:afterAutospacing="0"/>
        <w:jc w:val="both"/>
        <w:rPr>
          <w:rFonts w:ascii="Arial" w:hAnsi="Arial" w:cs="Arial"/>
          <w:sz w:val="20"/>
          <w:szCs w:val="20"/>
        </w:rPr>
      </w:pPr>
    </w:p>
    <w:p w14:paraId="673DCD9B" w14:textId="77777777" w:rsidR="00F92A0C" w:rsidRDefault="00094BE8" w:rsidP="00094BE8">
      <w:pPr>
        <w:pStyle w:val="NormalWeb"/>
        <w:spacing w:before="0" w:beforeAutospacing="0" w:after="0" w:afterAutospacing="0"/>
        <w:jc w:val="both"/>
        <w:rPr>
          <w:rFonts w:ascii="Arial" w:hAnsi="Arial" w:cs="Arial"/>
          <w:i/>
          <w:iCs/>
          <w:sz w:val="20"/>
          <w:szCs w:val="20"/>
        </w:rPr>
      </w:pPr>
      <w:r w:rsidRPr="00F92A0C">
        <w:rPr>
          <w:rFonts w:ascii="Arial" w:hAnsi="Arial" w:cs="Arial"/>
          <w:i/>
          <w:iCs/>
          <w:sz w:val="20"/>
          <w:szCs w:val="20"/>
        </w:rPr>
        <w:t>Author contributions</w:t>
      </w:r>
    </w:p>
    <w:p w14:paraId="6FAB02A3" w14:textId="0F1E4A43" w:rsidR="00643CFE"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D</w:t>
      </w:r>
      <w:r w:rsidR="00F92A0C">
        <w:rPr>
          <w:rFonts w:ascii="Arial" w:hAnsi="Arial" w:cs="Arial"/>
          <w:sz w:val="20"/>
          <w:szCs w:val="20"/>
        </w:rPr>
        <w:t>VH</w:t>
      </w:r>
      <w:r w:rsidR="00643CFE">
        <w:rPr>
          <w:rFonts w:ascii="Arial" w:hAnsi="Arial" w:cs="Arial"/>
          <w:sz w:val="20"/>
          <w:szCs w:val="20"/>
        </w:rPr>
        <w:t xml:space="preserve"> worked on the c</w:t>
      </w:r>
      <w:r w:rsidRPr="00094BE8">
        <w:rPr>
          <w:rFonts w:ascii="Arial" w:hAnsi="Arial" w:cs="Arial"/>
          <w:sz w:val="20"/>
          <w:szCs w:val="20"/>
        </w:rPr>
        <w:t xml:space="preserve">onceptualisation, methodology, investigation, writing </w:t>
      </w:r>
      <w:r w:rsidR="00643CFE">
        <w:rPr>
          <w:rFonts w:ascii="Arial" w:hAnsi="Arial" w:cs="Arial"/>
          <w:sz w:val="20"/>
          <w:szCs w:val="20"/>
        </w:rPr>
        <w:t>the</w:t>
      </w:r>
      <w:r w:rsidRPr="00094BE8">
        <w:rPr>
          <w:rFonts w:ascii="Arial" w:hAnsi="Arial" w:cs="Arial"/>
          <w:sz w:val="20"/>
          <w:szCs w:val="20"/>
        </w:rPr>
        <w:t xml:space="preserve"> original draft</w:t>
      </w:r>
      <w:r w:rsidR="00643CFE">
        <w:rPr>
          <w:rFonts w:ascii="Arial" w:hAnsi="Arial" w:cs="Arial"/>
          <w:sz w:val="20"/>
          <w:szCs w:val="20"/>
        </w:rPr>
        <w:t xml:space="preserve"> and</w:t>
      </w:r>
      <w:r w:rsidRPr="00094BE8">
        <w:rPr>
          <w:rFonts w:ascii="Arial" w:hAnsi="Arial" w:cs="Arial"/>
          <w:sz w:val="20"/>
          <w:szCs w:val="20"/>
        </w:rPr>
        <w:t xml:space="preserve"> project administration.</w:t>
      </w:r>
    </w:p>
    <w:p w14:paraId="06898AD0" w14:textId="078B6401" w:rsidR="00643CFE"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N</w:t>
      </w:r>
      <w:r w:rsidR="00F92A0C">
        <w:rPr>
          <w:rFonts w:ascii="Arial" w:hAnsi="Arial" w:cs="Arial"/>
          <w:sz w:val="20"/>
          <w:szCs w:val="20"/>
        </w:rPr>
        <w:t>MK</w:t>
      </w:r>
      <w:r w:rsidR="00643CFE">
        <w:rPr>
          <w:rFonts w:ascii="Arial" w:hAnsi="Arial" w:cs="Arial"/>
          <w:sz w:val="20"/>
          <w:szCs w:val="20"/>
        </w:rPr>
        <w:t xml:space="preserve"> worked on the</w:t>
      </w:r>
      <w:r w:rsidRPr="00094BE8">
        <w:rPr>
          <w:rFonts w:ascii="Arial" w:hAnsi="Arial" w:cs="Arial"/>
          <w:sz w:val="20"/>
          <w:szCs w:val="20"/>
        </w:rPr>
        <w:t xml:space="preserve"> </w:t>
      </w:r>
      <w:r w:rsidR="00643CFE">
        <w:rPr>
          <w:rFonts w:ascii="Arial" w:hAnsi="Arial" w:cs="Arial"/>
          <w:sz w:val="20"/>
          <w:szCs w:val="20"/>
        </w:rPr>
        <w:t>c</w:t>
      </w:r>
      <w:r w:rsidRPr="00094BE8">
        <w:rPr>
          <w:rFonts w:ascii="Arial" w:hAnsi="Arial" w:cs="Arial"/>
          <w:sz w:val="20"/>
          <w:szCs w:val="20"/>
        </w:rPr>
        <w:t xml:space="preserve">onceptualisation, methodology, supervision, writing </w:t>
      </w:r>
      <w:r w:rsidR="00643CFE">
        <w:rPr>
          <w:rFonts w:ascii="Arial" w:hAnsi="Arial" w:cs="Arial"/>
          <w:sz w:val="20"/>
          <w:szCs w:val="20"/>
        </w:rPr>
        <w:t>the</w:t>
      </w:r>
      <w:r w:rsidRPr="00094BE8">
        <w:rPr>
          <w:rFonts w:ascii="Arial" w:hAnsi="Arial" w:cs="Arial"/>
          <w:sz w:val="20"/>
          <w:szCs w:val="20"/>
        </w:rPr>
        <w:t xml:space="preserve"> review &amp; editing</w:t>
      </w:r>
      <w:r w:rsidR="00643CFE">
        <w:rPr>
          <w:rFonts w:ascii="Arial" w:hAnsi="Arial" w:cs="Arial"/>
          <w:sz w:val="20"/>
          <w:szCs w:val="20"/>
        </w:rPr>
        <w:t xml:space="preserve"> and</w:t>
      </w:r>
      <w:r w:rsidRPr="00094BE8">
        <w:rPr>
          <w:rFonts w:ascii="Arial" w:hAnsi="Arial" w:cs="Arial"/>
          <w:sz w:val="20"/>
          <w:szCs w:val="20"/>
        </w:rPr>
        <w:t xml:space="preserve"> corresponding author.</w:t>
      </w:r>
    </w:p>
    <w:p w14:paraId="2E8D6034" w14:textId="49F8F181" w:rsidR="00C4440C"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D</w:t>
      </w:r>
      <w:r w:rsidR="00F92A0C">
        <w:rPr>
          <w:rFonts w:ascii="Arial" w:hAnsi="Arial" w:cs="Arial"/>
          <w:sz w:val="20"/>
          <w:szCs w:val="20"/>
        </w:rPr>
        <w:t>VM</w:t>
      </w:r>
      <w:r w:rsidR="00643CFE">
        <w:rPr>
          <w:rFonts w:ascii="Arial" w:hAnsi="Arial" w:cs="Arial"/>
          <w:sz w:val="20"/>
          <w:szCs w:val="20"/>
        </w:rPr>
        <w:t xml:space="preserve"> worked on the</w:t>
      </w:r>
      <w:r w:rsidRPr="00094BE8">
        <w:rPr>
          <w:rFonts w:ascii="Arial" w:hAnsi="Arial" w:cs="Arial"/>
          <w:sz w:val="20"/>
          <w:szCs w:val="20"/>
        </w:rPr>
        <w:t xml:space="preserve"> </w:t>
      </w:r>
      <w:r w:rsidR="00643CFE">
        <w:rPr>
          <w:rFonts w:ascii="Arial" w:hAnsi="Arial" w:cs="Arial"/>
          <w:sz w:val="20"/>
          <w:szCs w:val="20"/>
        </w:rPr>
        <w:t>d</w:t>
      </w:r>
      <w:r w:rsidRPr="00094BE8">
        <w:rPr>
          <w:rFonts w:ascii="Arial" w:hAnsi="Arial" w:cs="Arial"/>
          <w:sz w:val="20"/>
          <w:szCs w:val="20"/>
        </w:rPr>
        <w:t>ata curation, formal analysis</w:t>
      </w:r>
      <w:r w:rsidR="00643CFE">
        <w:rPr>
          <w:rFonts w:ascii="Arial" w:hAnsi="Arial" w:cs="Arial"/>
          <w:sz w:val="20"/>
          <w:szCs w:val="20"/>
        </w:rPr>
        <w:t xml:space="preserve"> and</w:t>
      </w:r>
      <w:r w:rsidRPr="00094BE8">
        <w:rPr>
          <w:rFonts w:ascii="Arial" w:hAnsi="Arial" w:cs="Arial"/>
          <w:sz w:val="20"/>
          <w:szCs w:val="20"/>
        </w:rPr>
        <w:t xml:space="preserve"> validation.</w:t>
      </w:r>
    </w:p>
    <w:p w14:paraId="18229633" w14:textId="32EA96F7" w:rsidR="00C4440C"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V</w:t>
      </w:r>
      <w:r w:rsidR="00F92A0C">
        <w:rPr>
          <w:rFonts w:ascii="Arial" w:hAnsi="Arial" w:cs="Arial"/>
          <w:sz w:val="20"/>
          <w:szCs w:val="20"/>
        </w:rPr>
        <w:t>VK</w:t>
      </w:r>
      <w:r w:rsidR="00643CFE">
        <w:rPr>
          <w:rFonts w:ascii="Arial" w:hAnsi="Arial" w:cs="Arial"/>
          <w:sz w:val="20"/>
          <w:szCs w:val="20"/>
        </w:rPr>
        <w:t xml:space="preserve"> worked on the</w:t>
      </w:r>
      <w:r w:rsidRPr="00094BE8">
        <w:rPr>
          <w:rFonts w:ascii="Arial" w:hAnsi="Arial" w:cs="Arial"/>
          <w:sz w:val="20"/>
          <w:szCs w:val="20"/>
        </w:rPr>
        <w:t xml:space="preserve"> </w:t>
      </w:r>
      <w:r w:rsidR="00643CFE">
        <w:rPr>
          <w:rFonts w:ascii="Arial" w:hAnsi="Arial" w:cs="Arial"/>
          <w:sz w:val="20"/>
          <w:szCs w:val="20"/>
        </w:rPr>
        <w:t>i</w:t>
      </w:r>
      <w:r w:rsidRPr="00094BE8">
        <w:rPr>
          <w:rFonts w:ascii="Arial" w:hAnsi="Arial" w:cs="Arial"/>
          <w:sz w:val="20"/>
          <w:szCs w:val="20"/>
        </w:rPr>
        <w:t>nvestigation, resources</w:t>
      </w:r>
      <w:r w:rsidR="00643CFE">
        <w:rPr>
          <w:rFonts w:ascii="Arial" w:hAnsi="Arial" w:cs="Arial"/>
          <w:sz w:val="20"/>
          <w:szCs w:val="20"/>
        </w:rPr>
        <w:t xml:space="preserve"> and</w:t>
      </w:r>
      <w:r w:rsidRPr="00094BE8">
        <w:rPr>
          <w:rFonts w:ascii="Arial" w:hAnsi="Arial" w:cs="Arial"/>
          <w:sz w:val="20"/>
          <w:szCs w:val="20"/>
        </w:rPr>
        <w:t xml:space="preserve"> visualisation.</w:t>
      </w:r>
    </w:p>
    <w:p w14:paraId="66CA4B56" w14:textId="61B407FD" w:rsidR="00C4440C"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D</w:t>
      </w:r>
      <w:r w:rsidR="00F92A0C">
        <w:rPr>
          <w:rFonts w:ascii="Arial" w:hAnsi="Arial" w:cs="Arial"/>
          <w:sz w:val="20"/>
          <w:szCs w:val="20"/>
        </w:rPr>
        <w:t>NM</w:t>
      </w:r>
      <w:r w:rsidR="00643CFE">
        <w:rPr>
          <w:rFonts w:ascii="Arial" w:hAnsi="Arial" w:cs="Arial"/>
          <w:sz w:val="20"/>
          <w:szCs w:val="20"/>
        </w:rPr>
        <w:t xml:space="preserve"> worked on the</w:t>
      </w:r>
      <w:r w:rsidRPr="00094BE8">
        <w:rPr>
          <w:rFonts w:ascii="Arial" w:hAnsi="Arial" w:cs="Arial"/>
          <w:sz w:val="20"/>
          <w:szCs w:val="20"/>
        </w:rPr>
        <w:t xml:space="preserve"> </w:t>
      </w:r>
      <w:r w:rsidR="00643CFE">
        <w:rPr>
          <w:rFonts w:ascii="Arial" w:hAnsi="Arial" w:cs="Arial"/>
          <w:sz w:val="20"/>
          <w:szCs w:val="20"/>
        </w:rPr>
        <w:t>i</w:t>
      </w:r>
      <w:r w:rsidRPr="00094BE8">
        <w:rPr>
          <w:rFonts w:ascii="Arial" w:hAnsi="Arial" w:cs="Arial"/>
          <w:sz w:val="20"/>
          <w:szCs w:val="20"/>
        </w:rPr>
        <w:t xml:space="preserve">nvestigation, visualisation, writing </w:t>
      </w:r>
      <w:r w:rsidR="00643CFE">
        <w:rPr>
          <w:rFonts w:ascii="Arial" w:hAnsi="Arial" w:cs="Arial"/>
          <w:sz w:val="20"/>
          <w:szCs w:val="20"/>
        </w:rPr>
        <w:t>the</w:t>
      </w:r>
      <w:r w:rsidRPr="00094BE8">
        <w:rPr>
          <w:rFonts w:ascii="Arial" w:hAnsi="Arial" w:cs="Arial"/>
          <w:sz w:val="20"/>
          <w:szCs w:val="20"/>
        </w:rPr>
        <w:t xml:space="preserve"> review </w:t>
      </w:r>
      <w:r w:rsidR="00643CFE">
        <w:rPr>
          <w:rFonts w:ascii="Arial" w:hAnsi="Arial" w:cs="Arial"/>
          <w:sz w:val="20"/>
          <w:szCs w:val="20"/>
        </w:rPr>
        <w:t>and</w:t>
      </w:r>
      <w:r w:rsidRPr="00094BE8">
        <w:rPr>
          <w:rFonts w:ascii="Arial" w:hAnsi="Arial" w:cs="Arial"/>
          <w:sz w:val="20"/>
          <w:szCs w:val="20"/>
        </w:rPr>
        <w:t xml:space="preserve"> editing.</w:t>
      </w:r>
    </w:p>
    <w:p w14:paraId="7C113246" w14:textId="472DB134" w:rsidR="00C4440C"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N</w:t>
      </w:r>
      <w:r w:rsidR="00F92A0C">
        <w:rPr>
          <w:rFonts w:ascii="Arial" w:hAnsi="Arial" w:cs="Arial"/>
          <w:sz w:val="20"/>
          <w:szCs w:val="20"/>
        </w:rPr>
        <w:t>TA</w:t>
      </w:r>
      <w:r w:rsidR="00643CFE">
        <w:rPr>
          <w:rFonts w:ascii="Arial" w:hAnsi="Arial" w:cs="Arial"/>
          <w:sz w:val="20"/>
          <w:szCs w:val="20"/>
        </w:rPr>
        <w:t xml:space="preserve"> worked on the</w:t>
      </w:r>
      <w:r w:rsidRPr="00094BE8">
        <w:rPr>
          <w:rFonts w:ascii="Arial" w:hAnsi="Arial" w:cs="Arial"/>
          <w:sz w:val="20"/>
          <w:szCs w:val="20"/>
        </w:rPr>
        <w:t xml:space="preserve"> </w:t>
      </w:r>
      <w:r w:rsidR="00643CFE">
        <w:rPr>
          <w:rFonts w:ascii="Arial" w:hAnsi="Arial" w:cs="Arial"/>
          <w:sz w:val="20"/>
          <w:szCs w:val="20"/>
        </w:rPr>
        <w:t>f</w:t>
      </w:r>
      <w:r w:rsidRPr="00094BE8">
        <w:rPr>
          <w:rFonts w:ascii="Arial" w:hAnsi="Arial" w:cs="Arial"/>
          <w:sz w:val="20"/>
          <w:szCs w:val="20"/>
        </w:rPr>
        <w:t>ormal analysis, validation</w:t>
      </w:r>
      <w:r w:rsidR="00643CFE">
        <w:rPr>
          <w:rFonts w:ascii="Arial" w:hAnsi="Arial" w:cs="Arial"/>
          <w:sz w:val="20"/>
          <w:szCs w:val="20"/>
        </w:rPr>
        <w:t xml:space="preserve"> and</w:t>
      </w:r>
      <w:r w:rsidRPr="00094BE8">
        <w:rPr>
          <w:rFonts w:ascii="Arial" w:hAnsi="Arial" w:cs="Arial"/>
          <w:sz w:val="20"/>
          <w:szCs w:val="20"/>
        </w:rPr>
        <w:t xml:space="preserve"> software.</w:t>
      </w:r>
    </w:p>
    <w:p w14:paraId="617E0A9A" w14:textId="7CAC3185" w:rsidR="00094BE8" w:rsidRDefault="00643CFE" w:rsidP="00094BE8">
      <w:pPr>
        <w:pStyle w:val="NormalWeb"/>
        <w:spacing w:before="0" w:beforeAutospacing="0" w:after="0" w:afterAutospacing="0"/>
        <w:jc w:val="both"/>
        <w:rPr>
          <w:rFonts w:ascii="Arial" w:hAnsi="Arial" w:cs="Arial"/>
          <w:sz w:val="20"/>
          <w:szCs w:val="20"/>
        </w:rPr>
      </w:pPr>
      <w:r>
        <w:rPr>
          <w:rFonts w:ascii="Arial" w:hAnsi="Arial" w:cs="Arial"/>
          <w:sz w:val="20"/>
          <w:szCs w:val="20"/>
        </w:rPr>
        <w:t>P</w:t>
      </w:r>
      <w:r w:rsidR="00FB0B95">
        <w:rPr>
          <w:rFonts w:ascii="Arial" w:hAnsi="Arial" w:cs="Arial"/>
          <w:sz w:val="20"/>
          <w:szCs w:val="20"/>
        </w:rPr>
        <w:t>TTH</w:t>
      </w:r>
      <w:r>
        <w:rPr>
          <w:rFonts w:ascii="Arial" w:hAnsi="Arial" w:cs="Arial"/>
          <w:sz w:val="20"/>
          <w:szCs w:val="20"/>
        </w:rPr>
        <w:t xml:space="preserve"> worked on the</w:t>
      </w:r>
      <w:r w:rsidR="00094BE8" w:rsidRPr="00094BE8">
        <w:rPr>
          <w:rFonts w:ascii="Arial" w:hAnsi="Arial" w:cs="Arial"/>
          <w:sz w:val="20"/>
          <w:szCs w:val="20"/>
        </w:rPr>
        <w:t xml:space="preserve"> </w:t>
      </w:r>
      <w:r>
        <w:rPr>
          <w:rFonts w:ascii="Arial" w:hAnsi="Arial" w:cs="Arial"/>
          <w:sz w:val="20"/>
          <w:szCs w:val="20"/>
        </w:rPr>
        <w:t>m</w:t>
      </w:r>
      <w:r w:rsidR="00094BE8" w:rsidRPr="00094BE8">
        <w:rPr>
          <w:rFonts w:ascii="Arial" w:hAnsi="Arial" w:cs="Arial"/>
          <w:sz w:val="20"/>
          <w:szCs w:val="20"/>
        </w:rPr>
        <w:t xml:space="preserve">ethodology, writing </w:t>
      </w:r>
      <w:r>
        <w:rPr>
          <w:rFonts w:ascii="Arial" w:hAnsi="Arial" w:cs="Arial"/>
          <w:sz w:val="20"/>
          <w:szCs w:val="20"/>
        </w:rPr>
        <w:t>the</w:t>
      </w:r>
      <w:r w:rsidR="00094BE8" w:rsidRPr="00094BE8">
        <w:rPr>
          <w:rFonts w:ascii="Arial" w:hAnsi="Arial" w:cs="Arial"/>
          <w:sz w:val="20"/>
          <w:szCs w:val="20"/>
        </w:rPr>
        <w:t xml:space="preserve"> review &amp; editing</w:t>
      </w:r>
      <w:r>
        <w:rPr>
          <w:rFonts w:ascii="Arial" w:hAnsi="Arial" w:cs="Arial"/>
          <w:sz w:val="20"/>
          <w:szCs w:val="20"/>
        </w:rPr>
        <w:t xml:space="preserve"> and</w:t>
      </w:r>
      <w:r w:rsidR="00094BE8" w:rsidRPr="00094BE8">
        <w:rPr>
          <w:rFonts w:ascii="Arial" w:hAnsi="Arial" w:cs="Arial"/>
          <w:sz w:val="20"/>
          <w:szCs w:val="20"/>
        </w:rPr>
        <w:t xml:space="preserve"> supervision.</w:t>
      </w:r>
    </w:p>
    <w:p w14:paraId="4E495B35" w14:textId="77777777" w:rsidR="00FB0B95" w:rsidRPr="00094BE8" w:rsidRDefault="00FB0B95" w:rsidP="00094BE8">
      <w:pPr>
        <w:pStyle w:val="NormalWeb"/>
        <w:spacing w:before="0" w:beforeAutospacing="0" w:after="0" w:afterAutospacing="0"/>
        <w:jc w:val="both"/>
        <w:rPr>
          <w:rFonts w:ascii="Arial" w:hAnsi="Arial" w:cs="Arial"/>
          <w:sz w:val="20"/>
          <w:szCs w:val="20"/>
        </w:rPr>
      </w:pPr>
    </w:p>
    <w:p w14:paraId="2DE1D411" w14:textId="77777777" w:rsidR="00FB0B95" w:rsidRPr="00FB0B95" w:rsidRDefault="00094BE8" w:rsidP="00094BE8">
      <w:pPr>
        <w:pStyle w:val="NormalWeb"/>
        <w:spacing w:before="0" w:beforeAutospacing="0" w:after="0" w:afterAutospacing="0"/>
        <w:jc w:val="both"/>
        <w:rPr>
          <w:rFonts w:ascii="Arial" w:hAnsi="Arial" w:cs="Arial"/>
          <w:i/>
          <w:iCs/>
          <w:sz w:val="20"/>
          <w:szCs w:val="20"/>
        </w:rPr>
      </w:pPr>
      <w:r w:rsidRPr="00FB0B95">
        <w:rPr>
          <w:rFonts w:ascii="Arial" w:hAnsi="Arial" w:cs="Arial"/>
          <w:i/>
          <w:iCs/>
          <w:sz w:val="20"/>
          <w:szCs w:val="20"/>
        </w:rPr>
        <w:t>Acknowledgements</w:t>
      </w:r>
    </w:p>
    <w:p w14:paraId="3B69A8D0" w14:textId="2D8A4E12" w:rsidR="00094BE8" w:rsidRDefault="00094BE8" w:rsidP="00094BE8">
      <w:pPr>
        <w:pStyle w:val="NormalWeb"/>
        <w:spacing w:before="0" w:beforeAutospacing="0" w:after="0" w:afterAutospacing="0"/>
        <w:jc w:val="both"/>
        <w:rPr>
          <w:rFonts w:ascii="Arial" w:hAnsi="Arial" w:cs="Arial"/>
          <w:sz w:val="20"/>
          <w:szCs w:val="20"/>
        </w:rPr>
      </w:pPr>
      <w:r w:rsidRPr="00094BE8">
        <w:rPr>
          <w:rFonts w:ascii="Arial" w:hAnsi="Arial" w:cs="Arial"/>
          <w:sz w:val="20"/>
          <w:szCs w:val="20"/>
        </w:rPr>
        <w:t xml:space="preserve">The authors thank the surgical and radiology teams at Viet Duc University Hospital for their </w:t>
      </w:r>
      <w:r w:rsidRPr="00094BE8">
        <w:rPr>
          <w:rFonts w:ascii="Arial" w:hAnsi="Arial" w:cs="Arial"/>
          <w:sz w:val="20"/>
          <w:szCs w:val="20"/>
        </w:rPr>
        <w:lastRenderedPageBreak/>
        <w:t>assistance with patient recruitment, surgery, and MRI acquisition. We also thank the patients who participated in this study for their cooperation.</w:t>
      </w:r>
    </w:p>
    <w:p w14:paraId="2526E6EB" w14:textId="77777777" w:rsidR="00FB0B95" w:rsidRPr="00094BE8" w:rsidRDefault="00FB0B95" w:rsidP="00094BE8">
      <w:pPr>
        <w:pStyle w:val="NormalWeb"/>
        <w:spacing w:before="0" w:beforeAutospacing="0" w:after="0" w:afterAutospacing="0"/>
        <w:jc w:val="both"/>
        <w:rPr>
          <w:rFonts w:ascii="Arial" w:hAnsi="Arial" w:cs="Arial"/>
          <w:sz w:val="20"/>
          <w:szCs w:val="20"/>
        </w:rPr>
      </w:pPr>
    </w:p>
    <w:p w14:paraId="3A3D95C1" w14:textId="2B284738" w:rsidR="00FB0B95" w:rsidRPr="00FB0B95" w:rsidRDefault="00094BE8" w:rsidP="00094BE8">
      <w:pPr>
        <w:pStyle w:val="NormalWeb"/>
        <w:spacing w:before="0" w:beforeAutospacing="0" w:after="0" w:afterAutospacing="0"/>
        <w:jc w:val="both"/>
        <w:rPr>
          <w:rFonts w:ascii="Arial" w:hAnsi="Arial" w:cs="Arial"/>
          <w:b/>
          <w:bCs/>
          <w:sz w:val="20"/>
          <w:szCs w:val="20"/>
        </w:rPr>
      </w:pPr>
      <w:r w:rsidRPr="00FB0B95">
        <w:rPr>
          <w:rFonts w:ascii="Arial" w:hAnsi="Arial" w:cs="Arial"/>
          <w:b/>
          <w:bCs/>
          <w:sz w:val="20"/>
          <w:szCs w:val="20"/>
        </w:rPr>
        <w:t>R</w:t>
      </w:r>
      <w:r w:rsidR="00FB0B95" w:rsidRPr="00FB0B95">
        <w:rPr>
          <w:rFonts w:ascii="Arial" w:hAnsi="Arial" w:cs="Arial"/>
          <w:b/>
          <w:bCs/>
          <w:sz w:val="20"/>
          <w:szCs w:val="20"/>
        </w:rPr>
        <w:t>eference</w:t>
      </w:r>
    </w:p>
    <w:p w14:paraId="5BF58927" w14:textId="15CE5C61" w:rsidR="00304759" w:rsidRDefault="00304759" w:rsidP="00FB0B95">
      <w:pPr>
        <w:pStyle w:val="NormalWeb"/>
        <w:numPr>
          <w:ilvl w:val="0"/>
          <w:numId w:val="1"/>
        </w:numPr>
        <w:spacing w:before="0" w:beforeAutospacing="0" w:after="0" w:afterAutospacing="0"/>
        <w:ind w:left="288" w:hanging="288"/>
        <w:jc w:val="both"/>
        <w:rPr>
          <w:rFonts w:ascii="Arial" w:hAnsi="Arial" w:cs="Arial"/>
          <w:sz w:val="20"/>
          <w:szCs w:val="20"/>
        </w:rPr>
      </w:pPr>
      <w:bookmarkStart w:id="5" w:name="_Ref230599919"/>
      <w:r w:rsidRPr="00304759">
        <w:rPr>
          <w:rFonts w:ascii="Arial" w:hAnsi="Arial" w:cs="Arial"/>
          <w:sz w:val="20"/>
          <w:szCs w:val="20"/>
        </w:rPr>
        <w:t xml:space="preserve">Mancuso F, Di Benedetto P, </w:t>
      </w:r>
      <w:proofErr w:type="spellStart"/>
      <w:r w:rsidRPr="00304759">
        <w:rPr>
          <w:rFonts w:ascii="Arial" w:hAnsi="Arial" w:cs="Arial"/>
          <w:sz w:val="20"/>
          <w:szCs w:val="20"/>
        </w:rPr>
        <w:t>Tosolini</w:t>
      </w:r>
      <w:proofErr w:type="spellEnd"/>
      <w:r w:rsidRPr="00304759">
        <w:rPr>
          <w:rFonts w:ascii="Arial" w:hAnsi="Arial" w:cs="Arial"/>
          <w:sz w:val="20"/>
          <w:szCs w:val="20"/>
        </w:rPr>
        <w:t xml:space="preserve"> L, </w:t>
      </w:r>
      <w:proofErr w:type="spellStart"/>
      <w:r w:rsidRPr="00304759">
        <w:rPr>
          <w:rFonts w:ascii="Arial" w:hAnsi="Arial" w:cs="Arial"/>
          <w:sz w:val="20"/>
          <w:szCs w:val="20"/>
        </w:rPr>
        <w:t>Buttironi</w:t>
      </w:r>
      <w:proofErr w:type="spellEnd"/>
      <w:r w:rsidRPr="00304759">
        <w:rPr>
          <w:rFonts w:ascii="Arial" w:hAnsi="Arial" w:cs="Arial"/>
          <w:sz w:val="20"/>
          <w:szCs w:val="20"/>
        </w:rPr>
        <w:t xml:space="preserve"> MM, Beltrame A, </w:t>
      </w:r>
      <w:proofErr w:type="spellStart"/>
      <w:r w:rsidRPr="00304759">
        <w:rPr>
          <w:rFonts w:ascii="Arial" w:hAnsi="Arial" w:cs="Arial"/>
          <w:sz w:val="20"/>
          <w:szCs w:val="20"/>
        </w:rPr>
        <w:t>Causero</w:t>
      </w:r>
      <w:proofErr w:type="spellEnd"/>
      <w:r w:rsidRPr="00304759">
        <w:rPr>
          <w:rFonts w:ascii="Arial" w:hAnsi="Arial" w:cs="Arial"/>
          <w:sz w:val="20"/>
          <w:szCs w:val="20"/>
        </w:rPr>
        <w:t xml:space="preserve"> A. Treatment options for massive rotator cuff tears: a narrative review. Acta Bio Medica: </w:t>
      </w:r>
      <w:proofErr w:type="spellStart"/>
      <w:r w:rsidRPr="00304759">
        <w:rPr>
          <w:rFonts w:ascii="Arial" w:hAnsi="Arial" w:cs="Arial"/>
          <w:sz w:val="20"/>
          <w:szCs w:val="20"/>
        </w:rPr>
        <w:t>Atenei</w:t>
      </w:r>
      <w:proofErr w:type="spellEnd"/>
      <w:r w:rsidRPr="00304759">
        <w:rPr>
          <w:rFonts w:ascii="Arial" w:hAnsi="Arial" w:cs="Arial"/>
          <w:sz w:val="20"/>
          <w:szCs w:val="20"/>
        </w:rPr>
        <w:t xml:space="preserve"> </w:t>
      </w:r>
      <w:proofErr w:type="spellStart"/>
      <w:r w:rsidRPr="00304759">
        <w:rPr>
          <w:rFonts w:ascii="Arial" w:hAnsi="Arial" w:cs="Arial"/>
          <w:sz w:val="20"/>
          <w:szCs w:val="20"/>
        </w:rPr>
        <w:t>Parmensis</w:t>
      </w:r>
      <w:proofErr w:type="spellEnd"/>
      <w:r w:rsidRPr="00304759">
        <w:rPr>
          <w:rFonts w:ascii="Arial" w:hAnsi="Arial" w:cs="Arial"/>
          <w:sz w:val="20"/>
          <w:szCs w:val="20"/>
        </w:rPr>
        <w:t>. 2021 Jul 26;92(Suppl 3):e2021026.</w:t>
      </w:r>
      <w:r w:rsidR="001D3062">
        <w:rPr>
          <w:rFonts w:ascii="Arial" w:hAnsi="Arial" w:cs="Arial"/>
          <w:sz w:val="20"/>
          <w:szCs w:val="20"/>
        </w:rPr>
        <w:t xml:space="preserve"> </w:t>
      </w:r>
      <w:hyperlink r:id="rId21" w:history="1">
        <w:r w:rsidR="001D3062" w:rsidRPr="00360F5B">
          <w:rPr>
            <w:rStyle w:val="Hyperlink"/>
            <w:rFonts w:ascii="Arial" w:hAnsi="Arial" w:cs="Arial"/>
            <w:sz w:val="20"/>
            <w:szCs w:val="20"/>
          </w:rPr>
          <w:t>https://doi.org/10.23750/abm.v92iS3.11766</w:t>
        </w:r>
      </w:hyperlink>
      <w:bookmarkEnd w:id="5"/>
      <w:r w:rsidR="001D3062">
        <w:rPr>
          <w:rFonts w:ascii="Arial" w:hAnsi="Arial" w:cs="Arial"/>
          <w:sz w:val="20"/>
          <w:szCs w:val="20"/>
        </w:rPr>
        <w:t xml:space="preserve"> </w:t>
      </w:r>
    </w:p>
    <w:p w14:paraId="4BD55E35" w14:textId="3B51DD34" w:rsidR="00304759" w:rsidRDefault="00304759" w:rsidP="00FB0B95">
      <w:pPr>
        <w:pStyle w:val="NormalWeb"/>
        <w:numPr>
          <w:ilvl w:val="0"/>
          <w:numId w:val="1"/>
        </w:numPr>
        <w:spacing w:before="0" w:beforeAutospacing="0" w:after="0" w:afterAutospacing="0"/>
        <w:ind w:left="288" w:hanging="288"/>
        <w:jc w:val="both"/>
        <w:rPr>
          <w:rFonts w:ascii="Arial" w:hAnsi="Arial" w:cs="Arial"/>
          <w:sz w:val="20"/>
          <w:szCs w:val="20"/>
        </w:rPr>
      </w:pPr>
      <w:bookmarkStart w:id="6" w:name="_Ref230599963"/>
      <w:r w:rsidRPr="00304759">
        <w:rPr>
          <w:rFonts w:ascii="Arial" w:hAnsi="Arial" w:cs="Arial"/>
          <w:sz w:val="20"/>
          <w:szCs w:val="20"/>
        </w:rPr>
        <w:t xml:space="preserve">Henry P, Wasserstein D, Park S, Dwyer T, Chahal J, </w:t>
      </w:r>
      <w:proofErr w:type="spellStart"/>
      <w:r w:rsidRPr="00304759">
        <w:rPr>
          <w:rFonts w:ascii="Arial" w:hAnsi="Arial" w:cs="Arial"/>
          <w:sz w:val="20"/>
          <w:szCs w:val="20"/>
        </w:rPr>
        <w:t>Slobogean</w:t>
      </w:r>
      <w:proofErr w:type="spellEnd"/>
      <w:r w:rsidRPr="00304759">
        <w:rPr>
          <w:rFonts w:ascii="Arial" w:hAnsi="Arial" w:cs="Arial"/>
          <w:sz w:val="20"/>
          <w:szCs w:val="20"/>
        </w:rPr>
        <w:t xml:space="preserve"> G, </w:t>
      </w:r>
      <w:proofErr w:type="spellStart"/>
      <w:r w:rsidRPr="00304759">
        <w:rPr>
          <w:rFonts w:ascii="Arial" w:hAnsi="Arial" w:cs="Arial"/>
          <w:sz w:val="20"/>
          <w:szCs w:val="20"/>
        </w:rPr>
        <w:t>Schemitsch</w:t>
      </w:r>
      <w:proofErr w:type="spellEnd"/>
      <w:r w:rsidRPr="00304759">
        <w:rPr>
          <w:rFonts w:ascii="Arial" w:hAnsi="Arial" w:cs="Arial"/>
          <w:sz w:val="20"/>
          <w:szCs w:val="20"/>
        </w:rPr>
        <w:t xml:space="preserve"> E. Arthroscopic repair for chronic massive rotator cuff tears: a systematic review. Arthroscopy: The Journal of Arthroscopic &amp; Related Surgery. 2015 Dec 1;31(12):2472-80.</w:t>
      </w:r>
      <w:r w:rsidR="00AF0358">
        <w:rPr>
          <w:rFonts w:ascii="Arial" w:hAnsi="Arial" w:cs="Arial"/>
          <w:sz w:val="20"/>
          <w:szCs w:val="20"/>
        </w:rPr>
        <w:t xml:space="preserve"> </w:t>
      </w:r>
      <w:hyperlink r:id="rId22" w:history="1">
        <w:r w:rsidR="00AF0358" w:rsidRPr="00360F5B">
          <w:rPr>
            <w:rStyle w:val="Hyperlink"/>
            <w:rFonts w:ascii="Arial" w:hAnsi="Arial" w:cs="Arial"/>
            <w:sz w:val="20"/>
            <w:szCs w:val="20"/>
          </w:rPr>
          <w:t>https://doi.org/10.1016/j.arthro.2015.06.038</w:t>
        </w:r>
      </w:hyperlink>
      <w:bookmarkEnd w:id="6"/>
      <w:r w:rsidR="00AF0358">
        <w:rPr>
          <w:rFonts w:ascii="Arial" w:hAnsi="Arial" w:cs="Arial"/>
          <w:sz w:val="20"/>
          <w:szCs w:val="20"/>
        </w:rPr>
        <w:t xml:space="preserve"> </w:t>
      </w:r>
    </w:p>
    <w:p w14:paraId="6320CA4B" w14:textId="6C01CB2D" w:rsidR="00304759" w:rsidRDefault="00304759" w:rsidP="00FB0B95">
      <w:pPr>
        <w:pStyle w:val="NormalWeb"/>
        <w:numPr>
          <w:ilvl w:val="0"/>
          <w:numId w:val="1"/>
        </w:numPr>
        <w:spacing w:before="0" w:beforeAutospacing="0" w:after="0" w:afterAutospacing="0"/>
        <w:ind w:left="288" w:hanging="288"/>
        <w:jc w:val="both"/>
        <w:rPr>
          <w:rFonts w:ascii="Arial" w:hAnsi="Arial" w:cs="Arial"/>
          <w:sz w:val="20"/>
          <w:szCs w:val="20"/>
        </w:rPr>
      </w:pPr>
      <w:bookmarkStart w:id="7" w:name="_Ref230599974"/>
      <w:r w:rsidRPr="00304759">
        <w:rPr>
          <w:rFonts w:ascii="Arial" w:hAnsi="Arial" w:cs="Arial"/>
          <w:sz w:val="20"/>
          <w:szCs w:val="20"/>
        </w:rPr>
        <w:t xml:space="preserve">Shimokobe H, Gotoh M, Honda H, Nakamura H, Mitsui Y, Kakuma T, Okawa T, Shiba N. Risk factors for retear of large/massive rotator cuff tears after arthroscopic surgery: an analysis of tearing patterns. Journal of </w:t>
      </w:r>
      <w:r w:rsidR="00127815">
        <w:rPr>
          <w:rFonts w:ascii="Arial" w:hAnsi="Arial" w:cs="Arial"/>
          <w:sz w:val="20"/>
          <w:szCs w:val="20"/>
        </w:rPr>
        <w:t>O</w:t>
      </w:r>
      <w:r w:rsidRPr="00304759">
        <w:rPr>
          <w:rFonts w:ascii="Arial" w:hAnsi="Arial" w:cs="Arial"/>
          <w:sz w:val="20"/>
          <w:szCs w:val="20"/>
        </w:rPr>
        <w:t xml:space="preserve">rthopaedic </w:t>
      </w:r>
      <w:r w:rsidR="00127815">
        <w:rPr>
          <w:rFonts w:ascii="Arial" w:hAnsi="Arial" w:cs="Arial"/>
          <w:sz w:val="20"/>
          <w:szCs w:val="20"/>
        </w:rPr>
        <w:t>S</w:t>
      </w:r>
      <w:r w:rsidRPr="00304759">
        <w:rPr>
          <w:rFonts w:ascii="Arial" w:hAnsi="Arial" w:cs="Arial"/>
          <w:sz w:val="20"/>
          <w:szCs w:val="20"/>
        </w:rPr>
        <w:t xml:space="preserve">urgery and </w:t>
      </w:r>
      <w:r w:rsidR="00127815">
        <w:rPr>
          <w:rFonts w:ascii="Arial" w:hAnsi="Arial" w:cs="Arial"/>
          <w:sz w:val="20"/>
          <w:szCs w:val="20"/>
        </w:rPr>
        <w:t>R</w:t>
      </w:r>
      <w:r w:rsidRPr="00304759">
        <w:rPr>
          <w:rFonts w:ascii="Arial" w:hAnsi="Arial" w:cs="Arial"/>
          <w:sz w:val="20"/>
          <w:szCs w:val="20"/>
        </w:rPr>
        <w:t>esearch. 2017 Sep 25;12(1):140.</w:t>
      </w:r>
      <w:r w:rsidR="00AF0358">
        <w:rPr>
          <w:rFonts w:ascii="Arial" w:hAnsi="Arial" w:cs="Arial"/>
          <w:sz w:val="20"/>
          <w:szCs w:val="20"/>
        </w:rPr>
        <w:t xml:space="preserve"> </w:t>
      </w:r>
      <w:hyperlink r:id="rId23" w:history="1">
        <w:r w:rsidR="00AF0358" w:rsidRPr="00360F5B">
          <w:rPr>
            <w:rStyle w:val="Hyperlink"/>
            <w:rFonts w:ascii="Arial" w:hAnsi="Arial" w:cs="Arial"/>
            <w:sz w:val="20"/>
            <w:szCs w:val="20"/>
          </w:rPr>
          <w:t>https://doi.org/10.1186/s13018-017-0643-7</w:t>
        </w:r>
      </w:hyperlink>
      <w:bookmarkEnd w:id="7"/>
      <w:r w:rsidR="00AF0358">
        <w:rPr>
          <w:rFonts w:ascii="Arial" w:hAnsi="Arial" w:cs="Arial"/>
          <w:sz w:val="20"/>
          <w:szCs w:val="20"/>
        </w:rPr>
        <w:t xml:space="preserve"> </w:t>
      </w:r>
    </w:p>
    <w:p w14:paraId="52346741" w14:textId="4DF62032" w:rsidR="00304759" w:rsidRDefault="00304759" w:rsidP="00FB0B95">
      <w:pPr>
        <w:pStyle w:val="NormalWeb"/>
        <w:numPr>
          <w:ilvl w:val="0"/>
          <w:numId w:val="1"/>
        </w:numPr>
        <w:spacing w:before="0" w:beforeAutospacing="0" w:after="0" w:afterAutospacing="0"/>
        <w:ind w:left="288" w:hanging="288"/>
        <w:jc w:val="both"/>
        <w:rPr>
          <w:rFonts w:ascii="Arial" w:hAnsi="Arial" w:cs="Arial"/>
          <w:sz w:val="20"/>
          <w:szCs w:val="20"/>
        </w:rPr>
      </w:pPr>
      <w:bookmarkStart w:id="8" w:name="_Ref230599980"/>
      <w:proofErr w:type="spellStart"/>
      <w:r w:rsidRPr="00304759">
        <w:rPr>
          <w:rFonts w:ascii="Arial" w:hAnsi="Arial" w:cs="Arial"/>
          <w:sz w:val="20"/>
          <w:szCs w:val="20"/>
        </w:rPr>
        <w:t>Mandaleson</w:t>
      </w:r>
      <w:proofErr w:type="spellEnd"/>
      <w:r w:rsidRPr="00304759">
        <w:rPr>
          <w:rFonts w:ascii="Arial" w:hAnsi="Arial" w:cs="Arial"/>
          <w:sz w:val="20"/>
          <w:szCs w:val="20"/>
        </w:rPr>
        <w:t xml:space="preserve"> A. Re-tears after rotator cuff repair: current concepts review. Journal of </w:t>
      </w:r>
      <w:r w:rsidR="00127815">
        <w:rPr>
          <w:rFonts w:ascii="Arial" w:hAnsi="Arial" w:cs="Arial"/>
          <w:sz w:val="20"/>
          <w:szCs w:val="20"/>
        </w:rPr>
        <w:t>C</w:t>
      </w:r>
      <w:r w:rsidRPr="00304759">
        <w:rPr>
          <w:rFonts w:ascii="Arial" w:hAnsi="Arial" w:cs="Arial"/>
          <w:sz w:val="20"/>
          <w:szCs w:val="20"/>
        </w:rPr>
        <w:t xml:space="preserve">linical </w:t>
      </w:r>
      <w:r w:rsidR="00127815">
        <w:rPr>
          <w:rFonts w:ascii="Arial" w:hAnsi="Arial" w:cs="Arial"/>
          <w:sz w:val="20"/>
          <w:szCs w:val="20"/>
        </w:rPr>
        <w:t>O</w:t>
      </w:r>
      <w:r w:rsidRPr="00304759">
        <w:rPr>
          <w:rFonts w:ascii="Arial" w:hAnsi="Arial" w:cs="Arial"/>
          <w:sz w:val="20"/>
          <w:szCs w:val="20"/>
        </w:rPr>
        <w:t xml:space="preserve">rthopaedics and </w:t>
      </w:r>
      <w:r w:rsidR="00127815">
        <w:rPr>
          <w:rFonts w:ascii="Arial" w:hAnsi="Arial" w:cs="Arial"/>
          <w:sz w:val="20"/>
          <w:szCs w:val="20"/>
        </w:rPr>
        <w:t>T</w:t>
      </w:r>
      <w:r w:rsidRPr="00304759">
        <w:rPr>
          <w:rFonts w:ascii="Arial" w:hAnsi="Arial" w:cs="Arial"/>
          <w:sz w:val="20"/>
          <w:szCs w:val="20"/>
        </w:rPr>
        <w:t>rauma. 2021 Aug 1;19:168-74.</w:t>
      </w:r>
      <w:r w:rsidR="00AF0358">
        <w:rPr>
          <w:rFonts w:ascii="Arial" w:hAnsi="Arial" w:cs="Arial"/>
          <w:sz w:val="20"/>
          <w:szCs w:val="20"/>
        </w:rPr>
        <w:t xml:space="preserve"> </w:t>
      </w:r>
      <w:hyperlink r:id="rId24" w:history="1">
        <w:r w:rsidR="00AF0358" w:rsidRPr="00360F5B">
          <w:rPr>
            <w:rStyle w:val="Hyperlink"/>
            <w:rFonts w:ascii="Arial" w:hAnsi="Arial" w:cs="Arial"/>
            <w:sz w:val="20"/>
            <w:szCs w:val="20"/>
          </w:rPr>
          <w:t>https://doi.org/10.1016/j.jcot.2021.05.019</w:t>
        </w:r>
      </w:hyperlink>
      <w:bookmarkEnd w:id="8"/>
      <w:r w:rsidR="00AF0358">
        <w:rPr>
          <w:rFonts w:ascii="Arial" w:hAnsi="Arial" w:cs="Arial"/>
          <w:sz w:val="20"/>
          <w:szCs w:val="20"/>
        </w:rPr>
        <w:t xml:space="preserve"> </w:t>
      </w:r>
    </w:p>
    <w:p w14:paraId="0677E592" w14:textId="3A3A08BC" w:rsidR="00304759" w:rsidRDefault="00304759" w:rsidP="00FB0B95">
      <w:pPr>
        <w:pStyle w:val="NormalWeb"/>
        <w:numPr>
          <w:ilvl w:val="0"/>
          <w:numId w:val="1"/>
        </w:numPr>
        <w:spacing w:before="0" w:beforeAutospacing="0" w:after="0" w:afterAutospacing="0"/>
        <w:ind w:left="288" w:hanging="288"/>
        <w:jc w:val="both"/>
        <w:rPr>
          <w:rFonts w:ascii="Arial" w:hAnsi="Arial" w:cs="Arial"/>
          <w:sz w:val="20"/>
          <w:szCs w:val="20"/>
        </w:rPr>
      </w:pPr>
      <w:bookmarkStart w:id="9" w:name="_Ref230599987"/>
      <w:r w:rsidRPr="00304759">
        <w:rPr>
          <w:rFonts w:ascii="Arial" w:hAnsi="Arial" w:cs="Arial"/>
          <w:sz w:val="20"/>
          <w:szCs w:val="20"/>
        </w:rPr>
        <w:t xml:space="preserve">Sugaya H, Maeda K, Matsuki K, </w:t>
      </w:r>
      <w:proofErr w:type="spellStart"/>
      <w:r w:rsidRPr="00304759">
        <w:rPr>
          <w:rFonts w:ascii="Arial" w:hAnsi="Arial" w:cs="Arial"/>
          <w:sz w:val="20"/>
          <w:szCs w:val="20"/>
        </w:rPr>
        <w:t>Moriishi</w:t>
      </w:r>
      <w:proofErr w:type="spellEnd"/>
      <w:r w:rsidRPr="00304759">
        <w:rPr>
          <w:rFonts w:ascii="Arial" w:hAnsi="Arial" w:cs="Arial"/>
          <w:sz w:val="20"/>
          <w:szCs w:val="20"/>
        </w:rPr>
        <w:t xml:space="preserve"> J. Repair integrity and functional outcome after arthroscopic double-row rotator cuff repair: a prospective outcome study. JBJS. 2007 May 1;89(5):953-60.</w:t>
      </w:r>
      <w:r w:rsidR="00AF0358">
        <w:rPr>
          <w:rFonts w:ascii="Arial" w:hAnsi="Arial" w:cs="Arial"/>
          <w:sz w:val="20"/>
          <w:szCs w:val="20"/>
        </w:rPr>
        <w:t xml:space="preserve"> </w:t>
      </w:r>
      <w:hyperlink r:id="rId25" w:history="1">
        <w:r w:rsidR="00AF0358" w:rsidRPr="00360F5B">
          <w:rPr>
            <w:rStyle w:val="Hyperlink"/>
            <w:rFonts w:ascii="Arial" w:hAnsi="Arial" w:cs="Arial"/>
            <w:sz w:val="20"/>
            <w:szCs w:val="20"/>
          </w:rPr>
          <w:t>https://doi.org/10.2106/JBJS.F.00512</w:t>
        </w:r>
      </w:hyperlink>
      <w:bookmarkEnd w:id="9"/>
      <w:r w:rsidR="00AF0358">
        <w:rPr>
          <w:rFonts w:ascii="Arial" w:hAnsi="Arial" w:cs="Arial"/>
          <w:sz w:val="20"/>
          <w:szCs w:val="20"/>
        </w:rPr>
        <w:t xml:space="preserve"> </w:t>
      </w:r>
    </w:p>
    <w:p w14:paraId="3D032039" w14:textId="61483914" w:rsidR="00304759" w:rsidRDefault="00304759" w:rsidP="00FB0B95">
      <w:pPr>
        <w:pStyle w:val="NormalWeb"/>
        <w:numPr>
          <w:ilvl w:val="0"/>
          <w:numId w:val="1"/>
        </w:numPr>
        <w:spacing w:before="0" w:beforeAutospacing="0" w:after="0" w:afterAutospacing="0"/>
        <w:ind w:left="288" w:hanging="288"/>
        <w:jc w:val="both"/>
        <w:rPr>
          <w:rFonts w:ascii="Arial" w:hAnsi="Arial" w:cs="Arial"/>
          <w:sz w:val="20"/>
          <w:szCs w:val="20"/>
        </w:rPr>
      </w:pPr>
      <w:bookmarkStart w:id="10" w:name="_Ref230600080"/>
      <w:r w:rsidRPr="00304759">
        <w:rPr>
          <w:rFonts w:ascii="Arial" w:hAnsi="Arial" w:cs="Arial"/>
          <w:sz w:val="20"/>
          <w:szCs w:val="20"/>
        </w:rPr>
        <w:t>Shin YK, Ryu KN, Park JS, Jin W, Park SY, Yoon YC. Predictive factors of retear in patients with repaired rotator cuff tear on shoulder MRI. American Journal of Roentgenology. 2018 Jan;210(1):134-41.</w:t>
      </w:r>
      <w:r w:rsidR="00AF0358">
        <w:rPr>
          <w:rFonts w:ascii="Arial" w:hAnsi="Arial" w:cs="Arial"/>
          <w:sz w:val="20"/>
          <w:szCs w:val="20"/>
        </w:rPr>
        <w:t xml:space="preserve"> </w:t>
      </w:r>
      <w:hyperlink r:id="rId26" w:history="1">
        <w:r w:rsidR="00AF0358" w:rsidRPr="00360F5B">
          <w:rPr>
            <w:rStyle w:val="Hyperlink"/>
            <w:rFonts w:ascii="Arial" w:hAnsi="Arial" w:cs="Arial"/>
            <w:sz w:val="20"/>
            <w:szCs w:val="20"/>
          </w:rPr>
          <w:t>https://doi.org/10.2214/AJR.17.17915</w:t>
        </w:r>
      </w:hyperlink>
      <w:bookmarkEnd w:id="10"/>
      <w:r w:rsidR="00AF0358">
        <w:rPr>
          <w:rFonts w:ascii="Arial" w:hAnsi="Arial" w:cs="Arial"/>
          <w:sz w:val="20"/>
          <w:szCs w:val="20"/>
        </w:rPr>
        <w:t xml:space="preserve"> </w:t>
      </w:r>
    </w:p>
    <w:p w14:paraId="656F9CF0" w14:textId="13F3A902" w:rsidR="00304759" w:rsidRDefault="00304759" w:rsidP="00FB0B95">
      <w:pPr>
        <w:pStyle w:val="NormalWeb"/>
        <w:numPr>
          <w:ilvl w:val="0"/>
          <w:numId w:val="1"/>
        </w:numPr>
        <w:spacing w:before="0" w:beforeAutospacing="0" w:after="0" w:afterAutospacing="0"/>
        <w:ind w:left="288" w:hanging="288"/>
        <w:jc w:val="both"/>
        <w:rPr>
          <w:rFonts w:ascii="Arial" w:hAnsi="Arial" w:cs="Arial"/>
          <w:sz w:val="20"/>
          <w:szCs w:val="20"/>
        </w:rPr>
      </w:pPr>
      <w:bookmarkStart w:id="11" w:name="_Ref230600095"/>
      <w:r w:rsidRPr="00304759">
        <w:rPr>
          <w:rFonts w:ascii="Arial" w:hAnsi="Arial" w:cs="Arial"/>
          <w:sz w:val="20"/>
          <w:szCs w:val="20"/>
        </w:rPr>
        <w:t xml:space="preserve">Longo UG, Carnevale A, </w:t>
      </w:r>
      <w:proofErr w:type="spellStart"/>
      <w:r w:rsidRPr="00304759">
        <w:rPr>
          <w:rFonts w:ascii="Arial" w:hAnsi="Arial" w:cs="Arial"/>
          <w:sz w:val="20"/>
          <w:szCs w:val="20"/>
        </w:rPr>
        <w:t>Piergentili</w:t>
      </w:r>
      <w:proofErr w:type="spellEnd"/>
      <w:r w:rsidRPr="00304759">
        <w:rPr>
          <w:rFonts w:ascii="Arial" w:hAnsi="Arial" w:cs="Arial"/>
          <w:sz w:val="20"/>
          <w:szCs w:val="20"/>
        </w:rPr>
        <w:t xml:space="preserve"> I, Berton A, Candela V, Schena E, Denaro V. Retear rates after rotator cuff surgery: a systematic review and meta-analysis. BMC Musculoskeletal Disorders. 2021 Aug 31;22(1):749.</w:t>
      </w:r>
      <w:r w:rsidR="00AF0358">
        <w:rPr>
          <w:rFonts w:ascii="Arial" w:hAnsi="Arial" w:cs="Arial"/>
          <w:sz w:val="20"/>
          <w:szCs w:val="20"/>
        </w:rPr>
        <w:t xml:space="preserve"> </w:t>
      </w:r>
      <w:hyperlink r:id="rId27" w:history="1">
        <w:r w:rsidR="00AF0358" w:rsidRPr="00360F5B">
          <w:rPr>
            <w:rStyle w:val="Hyperlink"/>
            <w:rFonts w:ascii="Arial" w:hAnsi="Arial" w:cs="Arial"/>
            <w:sz w:val="20"/>
            <w:szCs w:val="20"/>
          </w:rPr>
          <w:t>https://doi.org/10.1186/s12891-021-04634-6</w:t>
        </w:r>
      </w:hyperlink>
      <w:bookmarkEnd w:id="11"/>
      <w:r w:rsidR="00AF0358">
        <w:rPr>
          <w:rFonts w:ascii="Arial" w:hAnsi="Arial" w:cs="Arial"/>
          <w:sz w:val="20"/>
          <w:szCs w:val="20"/>
        </w:rPr>
        <w:t xml:space="preserve"> </w:t>
      </w:r>
    </w:p>
    <w:p w14:paraId="72F67C13" w14:textId="57399671" w:rsidR="00304759" w:rsidRDefault="00304759" w:rsidP="00FB0B95">
      <w:pPr>
        <w:pStyle w:val="NormalWeb"/>
        <w:numPr>
          <w:ilvl w:val="0"/>
          <w:numId w:val="1"/>
        </w:numPr>
        <w:spacing w:before="0" w:beforeAutospacing="0" w:after="0" w:afterAutospacing="0"/>
        <w:ind w:left="288" w:hanging="288"/>
        <w:jc w:val="both"/>
        <w:rPr>
          <w:rFonts w:ascii="Arial" w:hAnsi="Arial" w:cs="Arial"/>
          <w:sz w:val="20"/>
          <w:szCs w:val="20"/>
        </w:rPr>
      </w:pPr>
      <w:bookmarkStart w:id="12" w:name="_Ref230600101"/>
      <w:r w:rsidRPr="00304759">
        <w:rPr>
          <w:rFonts w:ascii="Arial" w:hAnsi="Arial" w:cs="Arial"/>
          <w:sz w:val="20"/>
          <w:szCs w:val="20"/>
        </w:rPr>
        <w:t>Wang G, Liu C, Wang J, Li H, Yu G. Risk factors for healing failure after arthroscopic rotator cuff repair in small to medium-sized tears: a retrospective cohort study. Frontiers in Surgery. 2024 Nov 11;11:1456540.</w:t>
      </w:r>
      <w:r w:rsidR="00AF0358">
        <w:rPr>
          <w:rFonts w:ascii="Arial" w:hAnsi="Arial" w:cs="Arial"/>
          <w:sz w:val="20"/>
          <w:szCs w:val="20"/>
        </w:rPr>
        <w:t xml:space="preserve"> </w:t>
      </w:r>
      <w:hyperlink r:id="rId28" w:history="1">
        <w:r w:rsidR="00AF0358" w:rsidRPr="00360F5B">
          <w:rPr>
            <w:rStyle w:val="Hyperlink"/>
            <w:rFonts w:ascii="Arial" w:hAnsi="Arial" w:cs="Arial"/>
            <w:sz w:val="20"/>
            <w:szCs w:val="20"/>
          </w:rPr>
          <w:t>https://doi.org/10.3389/fsurg.2024.1456540</w:t>
        </w:r>
      </w:hyperlink>
      <w:bookmarkEnd w:id="12"/>
      <w:r w:rsidR="00AF0358">
        <w:rPr>
          <w:rFonts w:ascii="Arial" w:hAnsi="Arial" w:cs="Arial"/>
          <w:sz w:val="20"/>
          <w:szCs w:val="20"/>
        </w:rPr>
        <w:t xml:space="preserve"> </w:t>
      </w:r>
    </w:p>
    <w:p w14:paraId="66DE8A28" w14:textId="78FBE86E" w:rsidR="00304759" w:rsidRDefault="00304759" w:rsidP="00FB0B95">
      <w:pPr>
        <w:pStyle w:val="NormalWeb"/>
        <w:numPr>
          <w:ilvl w:val="0"/>
          <w:numId w:val="1"/>
        </w:numPr>
        <w:spacing w:before="0" w:beforeAutospacing="0" w:after="0" w:afterAutospacing="0"/>
        <w:ind w:left="288" w:hanging="288"/>
        <w:jc w:val="both"/>
        <w:rPr>
          <w:rFonts w:ascii="Arial" w:hAnsi="Arial" w:cs="Arial"/>
          <w:sz w:val="20"/>
          <w:szCs w:val="20"/>
        </w:rPr>
      </w:pPr>
      <w:bookmarkStart w:id="13" w:name="_Ref230600107"/>
      <w:r w:rsidRPr="00304759">
        <w:rPr>
          <w:rFonts w:ascii="Arial" w:hAnsi="Arial" w:cs="Arial"/>
          <w:sz w:val="20"/>
          <w:szCs w:val="20"/>
        </w:rPr>
        <w:t xml:space="preserve">Jeong HY, Kim HJ, Jeon YS, Rhee YG. Factors predictive of healing in large rotator cuff tears: is it possible to predict retear </w:t>
      </w:r>
      <w:r w:rsidRPr="00304759">
        <w:rPr>
          <w:rFonts w:ascii="Arial" w:hAnsi="Arial" w:cs="Arial"/>
          <w:sz w:val="20"/>
          <w:szCs w:val="20"/>
        </w:rPr>
        <w:t xml:space="preserve">preoperatively?. The American </w:t>
      </w:r>
      <w:r w:rsidR="00127815">
        <w:rPr>
          <w:rFonts w:ascii="Arial" w:hAnsi="Arial" w:cs="Arial"/>
          <w:sz w:val="20"/>
          <w:szCs w:val="20"/>
        </w:rPr>
        <w:t>J</w:t>
      </w:r>
      <w:r w:rsidRPr="00304759">
        <w:rPr>
          <w:rFonts w:ascii="Arial" w:hAnsi="Arial" w:cs="Arial"/>
          <w:sz w:val="20"/>
          <w:szCs w:val="20"/>
        </w:rPr>
        <w:t xml:space="preserve">ournal of </w:t>
      </w:r>
      <w:r w:rsidR="00127815">
        <w:rPr>
          <w:rFonts w:ascii="Arial" w:hAnsi="Arial" w:cs="Arial"/>
          <w:sz w:val="20"/>
          <w:szCs w:val="20"/>
        </w:rPr>
        <w:t>S</w:t>
      </w:r>
      <w:r w:rsidRPr="00304759">
        <w:rPr>
          <w:rFonts w:ascii="Arial" w:hAnsi="Arial" w:cs="Arial"/>
          <w:sz w:val="20"/>
          <w:szCs w:val="20"/>
        </w:rPr>
        <w:t xml:space="preserve">ports </w:t>
      </w:r>
      <w:r w:rsidR="00127815">
        <w:rPr>
          <w:rFonts w:ascii="Arial" w:hAnsi="Arial" w:cs="Arial"/>
          <w:sz w:val="20"/>
          <w:szCs w:val="20"/>
        </w:rPr>
        <w:t>M</w:t>
      </w:r>
      <w:r w:rsidRPr="00304759">
        <w:rPr>
          <w:rFonts w:ascii="Arial" w:hAnsi="Arial" w:cs="Arial"/>
          <w:sz w:val="20"/>
          <w:szCs w:val="20"/>
        </w:rPr>
        <w:t>edicine. 2018 Jun;46(7):1693-700.</w:t>
      </w:r>
      <w:r w:rsidR="00AF0358">
        <w:rPr>
          <w:rFonts w:ascii="Arial" w:hAnsi="Arial" w:cs="Arial"/>
          <w:sz w:val="20"/>
          <w:szCs w:val="20"/>
        </w:rPr>
        <w:t xml:space="preserve"> </w:t>
      </w:r>
      <w:hyperlink r:id="rId29" w:history="1">
        <w:r w:rsidR="00AF0358" w:rsidRPr="00360F5B">
          <w:rPr>
            <w:rStyle w:val="Hyperlink"/>
            <w:rFonts w:ascii="Arial" w:hAnsi="Arial" w:cs="Arial"/>
            <w:sz w:val="20"/>
            <w:szCs w:val="20"/>
          </w:rPr>
          <w:t>https://doi.org/10.1177/0363546518762386</w:t>
        </w:r>
      </w:hyperlink>
      <w:bookmarkEnd w:id="13"/>
      <w:r w:rsidR="00AF0358">
        <w:rPr>
          <w:rFonts w:ascii="Arial" w:hAnsi="Arial" w:cs="Arial"/>
          <w:sz w:val="20"/>
          <w:szCs w:val="20"/>
        </w:rPr>
        <w:t xml:space="preserve"> </w:t>
      </w:r>
    </w:p>
    <w:p w14:paraId="5417C9CB" w14:textId="7FE948C8" w:rsidR="00304759" w:rsidRDefault="00304759" w:rsidP="00FB0B95">
      <w:pPr>
        <w:pStyle w:val="NormalWeb"/>
        <w:numPr>
          <w:ilvl w:val="0"/>
          <w:numId w:val="1"/>
        </w:numPr>
        <w:spacing w:before="0" w:beforeAutospacing="0" w:after="0" w:afterAutospacing="0"/>
        <w:ind w:left="288" w:hanging="288"/>
        <w:jc w:val="both"/>
        <w:rPr>
          <w:rFonts w:ascii="Arial" w:hAnsi="Arial" w:cs="Arial"/>
          <w:sz w:val="20"/>
          <w:szCs w:val="20"/>
        </w:rPr>
      </w:pPr>
      <w:bookmarkStart w:id="14" w:name="_Ref230600113"/>
      <w:r w:rsidRPr="00304759">
        <w:rPr>
          <w:rFonts w:ascii="Arial" w:hAnsi="Arial" w:cs="Arial"/>
          <w:sz w:val="20"/>
          <w:szCs w:val="20"/>
        </w:rPr>
        <w:t xml:space="preserve">Ryan J, </w:t>
      </w:r>
      <w:proofErr w:type="spellStart"/>
      <w:r w:rsidRPr="00304759">
        <w:rPr>
          <w:rFonts w:ascii="Arial" w:hAnsi="Arial" w:cs="Arial"/>
          <w:sz w:val="20"/>
          <w:szCs w:val="20"/>
        </w:rPr>
        <w:t>Imbergamo</w:t>
      </w:r>
      <w:proofErr w:type="spellEnd"/>
      <w:r w:rsidRPr="00304759">
        <w:rPr>
          <w:rFonts w:ascii="Arial" w:hAnsi="Arial" w:cs="Arial"/>
          <w:sz w:val="20"/>
          <w:szCs w:val="20"/>
        </w:rPr>
        <w:t xml:space="preserve"> C, </w:t>
      </w:r>
      <w:proofErr w:type="spellStart"/>
      <w:r w:rsidRPr="00304759">
        <w:rPr>
          <w:rFonts w:ascii="Arial" w:hAnsi="Arial" w:cs="Arial"/>
          <w:sz w:val="20"/>
          <w:szCs w:val="20"/>
        </w:rPr>
        <w:t>Sudah</w:t>
      </w:r>
      <w:proofErr w:type="spellEnd"/>
      <w:r w:rsidRPr="00304759">
        <w:rPr>
          <w:rFonts w:ascii="Arial" w:hAnsi="Arial" w:cs="Arial"/>
          <w:sz w:val="20"/>
          <w:szCs w:val="20"/>
        </w:rPr>
        <w:t xml:space="preserve"> S, Kirchner G, Greenberg P, Monica J, Gatt C. Platelet-rich product supplementation in rotator cuff repair reduces retear rates and improves clinical outcomes: a meta-analysis of randomized controlled trials. Arthroscopy: The Journal of Arthroscopic &amp; Related Surgery. 2021 Aug 1;37(8):2608-24.</w:t>
      </w:r>
      <w:r w:rsidR="00AF0358">
        <w:rPr>
          <w:rFonts w:ascii="Arial" w:hAnsi="Arial" w:cs="Arial"/>
          <w:sz w:val="20"/>
          <w:szCs w:val="20"/>
        </w:rPr>
        <w:t xml:space="preserve"> </w:t>
      </w:r>
      <w:hyperlink r:id="rId30" w:history="1">
        <w:r w:rsidR="00AF0358" w:rsidRPr="00360F5B">
          <w:rPr>
            <w:rStyle w:val="Hyperlink"/>
            <w:rFonts w:ascii="Arial" w:hAnsi="Arial" w:cs="Arial"/>
            <w:sz w:val="20"/>
            <w:szCs w:val="20"/>
          </w:rPr>
          <w:t>https://doi.org/10.1016/j.arthro.2021.03.010</w:t>
        </w:r>
      </w:hyperlink>
      <w:bookmarkEnd w:id="14"/>
      <w:r w:rsidR="00AF0358">
        <w:rPr>
          <w:rFonts w:ascii="Arial" w:hAnsi="Arial" w:cs="Arial"/>
          <w:sz w:val="20"/>
          <w:szCs w:val="20"/>
        </w:rPr>
        <w:t xml:space="preserve"> </w:t>
      </w:r>
    </w:p>
    <w:p w14:paraId="57228C9F" w14:textId="579E4410" w:rsidR="00304759" w:rsidRDefault="00304759" w:rsidP="00FB0B95">
      <w:pPr>
        <w:pStyle w:val="NormalWeb"/>
        <w:numPr>
          <w:ilvl w:val="0"/>
          <w:numId w:val="1"/>
        </w:numPr>
        <w:spacing w:before="0" w:beforeAutospacing="0" w:after="0" w:afterAutospacing="0"/>
        <w:ind w:left="288" w:hanging="288"/>
        <w:jc w:val="both"/>
        <w:rPr>
          <w:rFonts w:ascii="Arial" w:hAnsi="Arial" w:cs="Arial"/>
          <w:sz w:val="20"/>
          <w:szCs w:val="20"/>
        </w:rPr>
      </w:pPr>
      <w:bookmarkStart w:id="15" w:name="_Ref230600119"/>
      <w:r w:rsidRPr="00304759">
        <w:rPr>
          <w:rFonts w:ascii="Arial" w:hAnsi="Arial" w:cs="Arial"/>
          <w:sz w:val="20"/>
          <w:szCs w:val="20"/>
        </w:rPr>
        <w:t xml:space="preserve">Prabhath A, Vernekar VN, Sanchez E, Laurencin CT. Growth factor delivery strategies for rotator cuff repair and regeneration. International </w:t>
      </w:r>
      <w:r w:rsidR="00127815">
        <w:rPr>
          <w:rFonts w:ascii="Arial" w:hAnsi="Arial" w:cs="Arial"/>
          <w:sz w:val="20"/>
          <w:szCs w:val="20"/>
        </w:rPr>
        <w:t>J</w:t>
      </w:r>
      <w:r w:rsidRPr="00304759">
        <w:rPr>
          <w:rFonts w:ascii="Arial" w:hAnsi="Arial" w:cs="Arial"/>
          <w:sz w:val="20"/>
          <w:szCs w:val="20"/>
        </w:rPr>
        <w:t xml:space="preserve">ournal of </w:t>
      </w:r>
      <w:r w:rsidR="00127815">
        <w:rPr>
          <w:rFonts w:ascii="Arial" w:hAnsi="Arial" w:cs="Arial"/>
          <w:sz w:val="20"/>
          <w:szCs w:val="20"/>
        </w:rPr>
        <w:t>P</w:t>
      </w:r>
      <w:r w:rsidRPr="00304759">
        <w:rPr>
          <w:rFonts w:ascii="Arial" w:hAnsi="Arial" w:cs="Arial"/>
          <w:sz w:val="20"/>
          <w:szCs w:val="20"/>
        </w:rPr>
        <w:t>harmaceutics. 2018 Jun 15;544(2):358-71.</w:t>
      </w:r>
      <w:r w:rsidR="00AF0358">
        <w:rPr>
          <w:rFonts w:ascii="Arial" w:hAnsi="Arial" w:cs="Arial"/>
          <w:sz w:val="20"/>
          <w:szCs w:val="20"/>
        </w:rPr>
        <w:t xml:space="preserve"> </w:t>
      </w:r>
      <w:hyperlink r:id="rId31" w:history="1">
        <w:r w:rsidR="00AF0358" w:rsidRPr="00360F5B">
          <w:rPr>
            <w:rStyle w:val="Hyperlink"/>
            <w:rFonts w:ascii="Arial" w:hAnsi="Arial" w:cs="Arial"/>
            <w:sz w:val="20"/>
            <w:szCs w:val="20"/>
          </w:rPr>
          <w:t>https://doi.org/10.1016/j.ijpharm.2018.01.006</w:t>
        </w:r>
      </w:hyperlink>
      <w:bookmarkEnd w:id="15"/>
      <w:r w:rsidR="00AF0358">
        <w:rPr>
          <w:rFonts w:ascii="Arial" w:hAnsi="Arial" w:cs="Arial"/>
          <w:sz w:val="20"/>
          <w:szCs w:val="20"/>
        </w:rPr>
        <w:t xml:space="preserve"> </w:t>
      </w:r>
    </w:p>
    <w:p w14:paraId="2449736E" w14:textId="768B240F" w:rsidR="00304759" w:rsidRDefault="00304759" w:rsidP="00FB0B95">
      <w:pPr>
        <w:pStyle w:val="NormalWeb"/>
        <w:numPr>
          <w:ilvl w:val="0"/>
          <w:numId w:val="1"/>
        </w:numPr>
        <w:spacing w:before="0" w:beforeAutospacing="0" w:after="0" w:afterAutospacing="0"/>
        <w:ind w:left="288" w:hanging="288"/>
        <w:jc w:val="both"/>
        <w:rPr>
          <w:rFonts w:ascii="Arial" w:hAnsi="Arial" w:cs="Arial"/>
          <w:sz w:val="20"/>
          <w:szCs w:val="20"/>
        </w:rPr>
      </w:pPr>
      <w:bookmarkStart w:id="16" w:name="_Ref230600125"/>
      <w:r w:rsidRPr="00304759">
        <w:rPr>
          <w:rFonts w:ascii="Arial" w:hAnsi="Arial" w:cs="Arial"/>
          <w:sz w:val="20"/>
          <w:szCs w:val="20"/>
        </w:rPr>
        <w:t xml:space="preserve">Barber FA, </w:t>
      </w:r>
      <w:proofErr w:type="spellStart"/>
      <w:r w:rsidRPr="00304759">
        <w:rPr>
          <w:rFonts w:ascii="Arial" w:hAnsi="Arial" w:cs="Arial"/>
          <w:sz w:val="20"/>
          <w:szCs w:val="20"/>
        </w:rPr>
        <w:t>Hrnack</w:t>
      </w:r>
      <w:proofErr w:type="spellEnd"/>
      <w:r w:rsidRPr="00304759">
        <w:rPr>
          <w:rFonts w:ascii="Arial" w:hAnsi="Arial" w:cs="Arial"/>
          <w:sz w:val="20"/>
          <w:szCs w:val="20"/>
        </w:rPr>
        <w:t xml:space="preserve"> SA, Snyder SJ, Hapa O. Rotator cuff repair healing influenced by platelet-rich plasma construct augmentation. Arthroscopy: The Journal of Arthroscopic &amp; Related Surgery. 2011 Aug 1;27(8):1029-35.</w:t>
      </w:r>
      <w:r w:rsidR="00AF0358">
        <w:rPr>
          <w:rFonts w:ascii="Arial" w:hAnsi="Arial" w:cs="Arial"/>
          <w:sz w:val="20"/>
          <w:szCs w:val="20"/>
        </w:rPr>
        <w:t xml:space="preserve"> </w:t>
      </w:r>
      <w:hyperlink r:id="rId32" w:history="1">
        <w:r w:rsidR="00AF0358" w:rsidRPr="00360F5B">
          <w:rPr>
            <w:rStyle w:val="Hyperlink"/>
            <w:rFonts w:ascii="Arial" w:hAnsi="Arial" w:cs="Arial"/>
            <w:sz w:val="20"/>
            <w:szCs w:val="20"/>
          </w:rPr>
          <w:t>https://doi.org/10.1016/j.arthro.2011.06.010</w:t>
        </w:r>
      </w:hyperlink>
      <w:bookmarkEnd w:id="16"/>
      <w:r w:rsidR="00AF0358">
        <w:rPr>
          <w:rFonts w:ascii="Arial" w:hAnsi="Arial" w:cs="Arial"/>
          <w:sz w:val="20"/>
          <w:szCs w:val="20"/>
        </w:rPr>
        <w:t xml:space="preserve"> </w:t>
      </w:r>
    </w:p>
    <w:p w14:paraId="1B6078CB" w14:textId="2E7C612A" w:rsidR="00304759" w:rsidRDefault="00304759" w:rsidP="00FB0B95">
      <w:pPr>
        <w:pStyle w:val="NormalWeb"/>
        <w:numPr>
          <w:ilvl w:val="0"/>
          <w:numId w:val="1"/>
        </w:numPr>
        <w:spacing w:before="0" w:beforeAutospacing="0" w:after="0" w:afterAutospacing="0"/>
        <w:ind w:left="288" w:hanging="288"/>
        <w:jc w:val="both"/>
        <w:rPr>
          <w:rFonts w:ascii="Arial" w:hAnsi="Arial" w:cs="Arial"/>
          <w:sz w:val="20"/>
          <w:szCs w:val="20"/>
        </w:rPr>
      </w:pPr>
      <w:bookmarkStart w:id="17" w:name="_Ref230600133"/>
      <w:r w:rsidRPr="00304759">
        <w:rPr>
          <w:rFonts w:ascii="Arial" w:hAnsi="Arial" w:cs="Arial"/>
          <w:sz w:val="20"/>
          <w:szCs w:val="20"/>
        </w:rPr>
        <w:t>Yang FA, Liao CD, Wu CW, Shih YC, Wu LC, Chen HC. Effects of applying platelet-rich plasma during arthroscopic rotator cuff repair: a systematic review and meta-analysis of randomised controlled trials. Scientific Reports. 2020 Oct 14;10(1):17171.</w:t>
      </w:r>
      <w:r w:rsidR="00AF0358">
        <w:rPr>
          <w:rFonts w:ascii="Arial" w:hAnsi="Arial" w:cs="Arial"/>
          <w:sz w:val="20"/>
          <w:szCs w:val="20"/>
        </w:rPr>
        <w:t xml:space="preserve"> </w:t>
      </w:r>
      <w:hyperlink r:id="rId33" w:history="1">
        <w:r w:rsidR="00AF0358" w:rsidRPr="00360F5B">
          <w:rPr>
            <w:rStyle w:val="Hyperlink"/>
            <w:rFonts w:ascii="Arial" w:hAnsi="Arial" w:cs="Arial"/>
            <w:sz w:val="20"/>
            <w:szCs w:val="20"/>
          </w:rPr>
          <w:t>https://doi.org/10.1038/s41598-020-74341-0</w:t>
        </w:r>
      </w:hyperlink>
      <w:bookmarkEnd w:id="17"/>
      <w:r w:rsidR="00AF0358">
        <w:rPr>
          <w:rFonts w:ascii="Arial" w:hAnsi="Arial" w:cs="Arial"/>
          <w:sz w:val="20"/>
          <w:szCs w:val="20"/>
        </w:rPr>
        <w:t xml:space="preserve"> </w:t>
      </w:r>
    </w:p>
    <w:p w14:paraId="71240468" w14:textId="6F2224ED" w:rsidR="00304759" w:rsidRDefault="00304759" w:rsidP="00FB0B95">
      <w:pPr>
        <w:pStyle w:val="NormalWeb"/>
        <w:numPr>
          <w:ilvl w:val="0"/>
          <w:numId w:val="1"/>
        </w:numPr>
        <w:spacing w:before="0" w:beforeAutospacing="0" w:after="0" w:afterAutospacing="0"/>
        <w:ind w:left="288" w:hanging="288"/>
        <w:jc w:val="both"/>
        <w:rPr>
          <w:rFonts w:ascii="Arial" w:hAnsi="Arial" w:cs="Arial"/>
          <w:sz w:val="20"/>
          <w:szCs w:val="20"/>
        </w:rPr>
      </w:pPr>
      <w:bookmarkStart w:id="18" w:name="_Ref230600141"/>
      <w:r w:rsidRPr="00304759">
        <w:rPr>
          <w:rFonts w:ascii="Arial" w:hAnsi="Arial" w:cs="Arial"/>
          <w:sz w:val="20"/>
          <w:szCs w:val="20"/>
        </w:rPr>
        <w:t>Collier SG, Wynn-Jones CH. Displacement of the biceps with subscapularis avulsion. The Journal of Bone &amp; Joint Surgery British Volume. 1990 Jan 1;72(1):145-.</w:t>
      </w:r>
      <w:r w:rsidR="00AF0358">
        <w:rPr>
          <w:rFonts w:ascii="Arial" w:hAnsi="Arial" w:cs="Arial"/>
          <w:sz w:val="20"/>
          <w:szCs w:val="20"/>
        </w:rPr>
        <w:t xml:space="preserve"> </w:t>
      </w:r>
      <w:hyperlink r:id="rId34" w:history="1">
        <w:r w:rsidR="00AF0358" w:rsidRPr="00360F5B">
          <w:rPr>
            <w:rStyle w:val="Hyperlink"/>
            <w:rFonts w:ascii="Arial" w:hAnsi="Arial" w:cs="Arial"/>
            <w:sz w:val="20"/>
            <w:szCs w:val="20"/>
          </w:rPr>
          <w:t>https://doi.org/10.1302/0301-620X.72B1.2298776</w:t>
        </w:r>
      </w:hyperlink>
      <w:bookmarkEnd w:id="18"/>
      <w:r w:rsidR="00AF0358">
        <w:rPr>
          <w:rFonts w:ascii="Arial" w:hAnsi="Arial" w:cs="Arial"/>
          <w:sz w:val="20"/>
          <w:szCs w:val="20"/>
        </w:rPr>
        <w:t xml:space="preserve"> </w:t>
      </w:r>
    </w:p>
    <w:p w14:paraId="6B92894D" w14:textId="00B93BAA" w:rsidR="00304759" w:rsidRDefault="00304759" w:rsidP="00FB0B95">
      <w:pPr>
        <w:pStyle w:val="NormalWeb"/>
        <w:numPr>
          <w:ilvl w:val="0"/>
          <w:numId w:val="1"/>
        </w:numPr>
        <w:spacing w:before="0" w:beforeAutospacing="0" w:after="0" w:afterAutospacing="0"/>
        <w:ind w:left="288" w:hanging="288"/>
        <w:jc w:val="both"/>
        <w:rPr>
          <w:rFonts w:ascii="Arial" w:hAnsi="Arial" w:cs="Arial"/>
          <w:sz w:val="20"/>
          <w:szCs w:val="20"/>
        </w:rPr>
      </w:pPr>
      <w:bookmarkStart w:id="19" w:name="_Ref230600149"/>
      <w:r w:rsidRPr="00304759">
        <w:rPr>
          <w:rFonts w:ascii="Arial" w:hAnsi="Arial" w:cs="Arial"/>
          <w:sz w:val="20"/>
          <w:szCs w:val="20"/>
        </w:rPr>
        <w:t>Patte D. Classification of rotator cuff lesions. Clinical Orthopaedics and Related Research®. 1990 May 1;254:81-6.</w:t>
      </w:r>
      <w:r w:rsidR="00AF0358">
        <w:rPr>
          <w:rFonts w:ascii="Arial" w:hAnsi="Arial" w:cs="Arial"/>
          <w:sz w:val="20"/>
          <w:szCs w:val="20"/>
        </w:rPr>
        <w:t xml:space="preserve"> </w:t>
      </w:r>
      <w:hyperlink r:id="rId35" w:history="1">
        <w:r w:rsidR="00AF0358" w:rsidRPr="00360F5B">
          <w:rPr>
            <w:rStyle w:val="Hyperlink"/>
            <w:rFonts w:ascii="Arial" w:hAnsi="Arial" w:cs="Arial"/>
            <w:sz w:val="20"/>
            <w:szCs w:val="20"/>
          </w:rPr>
          <w:t>https://doi.org/10.1097/00003086-199005000-00012</w:t>
        </w:r>
      </w:hyperlink>
      <w:bookmarkEnd w:id="19"/>
      <w:r w:rsidR="00AF0358">
        <w:rPr>
          <w:rFonts w:ascii="Arial" w:hAnsi="Arial" w:cs="Arial"/>
          <w:sz w:val="20"/>
          <w:szCs w:val="20"/>
        </w:rPr>
        <w:t xml:space="preserve"> </w:t>
      </w:r>
    </w:p>
    <w:p w14:paraId="6D336D86" w14:textId="58ACF904" w:rsidR="00304759" w:rsidRDefault="00304759" w:rsidP="00FB0B95">
      <w:pPr>
        <w:pStyle w:val="NormalWeb"/>
        <w:numPr>
          <w:ilvl w:val="0"/>
          <w:numId w:val="1"/>
        </w:numPr>
        <w:spacing w:before="0" w:beforeAutospacing="0" w:after="0" w:afterAutospacing="0"/>
        <w:ind w:left="288" w:hanging="288"/>
        <w:jc w:val="both"/>
        <w:rPr>
          <w:rFonts w:ascii="Arial" w:hAnsi="Arial" w:cs="Arial"/>
          <w:sz w:val="20"/>
          <w:szCs w:val="20"/>
        </w:rPr>
      </w:pPr>
      <w:bookmarkStart w:id="20" w:name="_Ref230600156"/>
      <w:r w:rsidRPr="00304759">
        <w:rPr>
          <w:rFonts w:ascii="Arial" w:hAnsi="Arial" w:cs="Arial"/>
          <w:sz w:val="20"/>
          <w:szCs w:val="20"/>
        </w:rPr>
        <w:t xml:space="preserve">Somerson JS, Hsu JE, </w:t>
      </w:r>
      <w:proofErr w:type="spellStart"/>
      <w:r w:rsidRPr="00304759">
        <w:rPr>
          <w:rFonts w:ascii="Arial" w:hAnsi="Arial" w:cs="Arial"/>
          <w:sz w:val="20"/>
          <w:szCs w:val="20"/>
        </w:rPr>
        <w:t>Gorbaty</w:t>
      </w:r>
      <w:proofErr w:type="spellEnd"/>
      <w:r w:rsidRPr="00304759">
        <w:rPr>
          <w:rFonts w:ascii="Arial" w:hAnsi="Arial" w:cs="Arial"/>
          <w:sz w:val="20"/>
          <w:szCs w:val="20"/>
        </w:rPr>
        <w:t xml:space="preserve"> JD, Gee AO. Classifications in brief: </w:t>
      </w:r>
      <w:proofErr w:type="spellStart"/>
      <w:r w:rsidRPr="00304759">
        <w:rPr>
          <w:rFonts w:ascii="Arial" w:hAnsi="Arial" w:cs="Arial"/>
          <w:sz w:val="20"/>
          <w:szCs w:val="20"/>
        </w:rPr>
        <w:t>Goutallier</w:t>
      </w:r>
      <w:proofErr w:type="spellEnd"/>
      <w:r w:rsidRPr="00304759">
        <w:rPr>
          <w:rFonts w:ascii="Arial" w:hAnsi="Arial" w:cs="Arial"/>
          <w:sz w:val="20"/>
          <w:szCs w:val="20"/>
        </w:rPr>
        <w:t xml:space="preserve"> classification of fatty infiltration of the rotator cuff musculature. Clinical Orthopaedics and Related Research®. 2016 May;474(5):1328-32.</w:t>
      </w:r>
      <w:r w:rsidR="00AF0358">
        <w:rPr>
          <w:rFonts w:ascii="Arial" w:hAnsi="Arial" w:cs="Arial"/>
          <w:sz w:val="20"/>
          <w:szCs w:val="20"/>
        </w:rPr>
        <w:t xml:space="preserve"> </w:t>
      </w:r>
      <w:hyperlink r:id="rId36" w:history="1">
        <w:r w:rsidR="00AF0358" w:rsidRPr="00360F5B">
          <w:rPr>
            <w:rStyle w:val="Hyperlink"/>
            <w:rFonts w:ascii="Arial" w:hAnsi="Arial" w:cs="Arial"/>
            <w:sz w:val="20"/>
            <w:szCs w:val="20"/>
          </w:rPr>
          <w:t>https://doi.org/10.1007/s11999-015-4630-1</w:t>
        </w:r>
      </w:hyperlink>
      <w:bookmarkEnd w:id="20"/>
      <w:r w:rsidR="00AF0358">
        <w:rPr>
          <w:rFonts w:ascii="Arial" w:hAnsi="Arial" w:cs="Arial"/>
          <w:sz w:val="20"/>
          <w:szCs w:val="20"/>
        </w:rPr>
        <w:t xml:space="preserve"> </w:t>
      </w:r>
    </w:p>
    <w:p w14:paraId="058AB286" w14:textId="4CA86457" w:rsidR="00304759" w:rsidRDefault="00304759" w:rsidP="00FB0B95">
      <w:pPr>
        <w:pStyle w:val="NormalWeb"/>
        <w:numPr>
          <w:ilvl w:val="0"/>
          <w:numId w:val="1"/>
        </w:numPr>
        <w:spacing w:before="0" w:beforeAutospacing="0" w:after="0" w:afterAutospacing="0"/>
        <w:ind w:left="288" w:hanging="288"/>
        <w:jc w:val="both"/>
        <w:rPr>
          <w:rFonts w:ascii="Arial" w:hAnsi="Arial" w:cs="Arial"/>
          <w:sz w:val="20"/>
          <w:szCs w:val="20"/>
        </w:rPr>
      </w:pPr>
      <w:bookmarkStart w:id="21" w:name="_Ref230600187"/>
      <w:r w:rsidRPr="00304759">
        <w:rPr>
          <w:rFonts w:ascii="Arial" w:hAnsi="Arial" w:cs="Arial"/>
          <w:sz w:val="20"/>
          <w:szCs w:val="20"/>
        </w:rPr>
        <w:t xml:space="preserve">Yoshida M, Collin P, </w:t>
      </w:r>
      <w:proofErr w:type="spellStart"/>
      <w:r w:rsidRPr="00304759">
        <w:rPr>
          <w:rFonts w:ascii="Arial" w:hAnsi="Arial" w:cs="Arial"/>
          <w:sz w:val="20"/>
          <w:szCs w:val="20"/>
        </w:rPr>
        <w:t>Josseaume</w:t>
      </w:r>
      <w:proofErr w:type="spellEnd"/>
      <w:r w:rsidRPr="00304759">
        <w:rPr>
          <w:rFonts w:ascii="Arial" w:hAnsi="Arial" w:cs="Arial"/>
          <w:sz w:val="20"/>
          <w:szCs w:val="20"/>
        </w:rPr>
        <w:t xml:space="preserve"> T, </w:t>
      </w:r>
      <w:proofErr w:type="spellStart"/>
      <w:r w:rsidRPr="00304759">
        <w:rPr>
          <w:rFonts w:ascii="Arial" w:hAnsi="Arial" w:cs="Arial"/>
          <w:sz w:val="20"/>
          <w:szCs w:val="20"/>
        </w:rPr>
        <w:t>Lädermann</w:t>
      </w:r>
      <w:proofErr w:type="spellEnd"/>
      <w:r w:rsidRPr="00304759">
        <w:rPr>
          <w:rFonts w:ascii="Arial" w:hAnsi="Arial" w:cs="Arial"/>
          <w:sz w:val="20"/>
          <w:szCs w:val="20"/>
        </w:rPr>
        <w:t xml:space="preserve"> A, Goto H, Sugimoto K, Otsuka T. Post-operative rotator cuff integrity, based on Sugaya’s classification, can reflect abduction muscle strength of the shoulder. Knee Surgery, Sports Traumatology, Arthroscopy. 2018 Jan;26(1):161-8.</w:t>
      </w:r>
      <w:r w:rsidR="00AF0358">
        <w:rPr>
          <w:rFonts w:ascii="Arial" w:hAnsi="Arial" w:cs="Arial"/>
          <w:sz w:val="20"/>
          <w:szCs w:val="20"/>
        </w:rPr>
        <w:t xml:space="preserve"> </w:t>
      </w:r>
      <w:hyperlink r:id="rId37" w:history="1">
        <w:r w:rsidR="00AF0358" w:rsidRPr="00360F5B">
          <w:rPr>
            <w:rStyle w:val="Hyperlink"/>
            <w:rFonts w:ascii="Arial" w:hAnsi="Arial" w:cs="Arial"/>
            <w:sz w:val="20"/>
            <w:szCs w:val="20"/>
          </w:rPr>
          <w:t>https://doi.org/10.1007/s00167-017-4608-5</w:t>
        </w:r>
      </w:hyperlink>
      <w:bookmarkEnd w:id="21"/>
      <w:r w:rsidR="00AF0358">
        <w:rPr>
          <w:rFonts w:ascii="Arial" w:hAnsi="Arial" w:cs="Arial"/>
          <w:sz w:val="20"/>
          <w:szCs w:val="20"/>
        </w:rPr>
        <w:t xml:space="preserve"> </w:t>
      </w:r>
    </w:p>
    <w:p w14:paraId="20A28DD1" w14:textId="69D1405E" w:rsidR="00DF50A0" w:rsidRDefault="00DF50A0" w:rsidP="00FB0B95">
      <w:pPr>
        <w:pStyle w:val="NormalWeb"/>
        <w:numPr>
          <w:ilvl w:val="0"/>
          <w:numId w:val="1"/>
        </w:numPr>
        <w:spacing w:before="0" w:beforeAutospacing="0" w:after="0" w:afterAutospacing="0"/>
        <w:ind w:left="288" w:hanging="288"/>
        <w:jc w:val="both"/>
        <w:rPr>
          <w:rFonts w:ascii="Arial" w:hAnsi="Arial" w:cs="Arial"/>
          <w:sz w:val="20"/>
          <w:szCs w:val="20"/>
        </w:rPr>
      </w:pPr>
      <w:bookmarkStart w:id="22" w:name="_Ref230600194"/>
      <w:r w:rsidRPr="00DF50A0">
        <w:rPr>
          <w:rFonts w:ascii="Arial" w:hAnsi="Arial" w:cs="Arial"/>
          <w:sz w:val="20"/>
          <w:szCs w:val="20"/>
        </w:rPr>
        <w:t xml:space="preserve">Peduzzi P, Concato J, Kemper E, Holford TR, Feinstein AR. A simulation study of the number of events per variable in logistic </w:t>
      </w:r>
      <w:r w:rsidRPr="00DF50A0">
        <w:rPr>
          <w:rFonts w:ascii="Arial" w:hAnsi="Arial" w:cs="Arial"/>
          <w:sz w:val="20"/>
          <w:szCs w:val="20"/>
        </w:rPr>
        <w:lastRenderedPageBreak/>
        <w:t xml:space="preserve">regression analysis. Journal of </w:t>
      </w:r>
      <w:r w:rsidR="00127815">
        <w:rPr>
          <w:rFonts w:ascii="Arial" w:hAnsi="Arial" w:cs="Arial"/>
          <w:sz w:val="20"/>
          <w:szCs w:val="20"/>
        </w:rPr>
        <w:t>C</w:t>
      </w:r>
      <w:r w:rsidRPr="00DF50A0">
        <w:rPr>
          <w:rFonts w:ascii="Arial" w:hAnsi="Arial" w:cs="Arial"/>
          <w:sz w:val="20"/>
          <w:szCs w:val="20"/>
        </w:rPr>
        <w:t xml:space="preserve">linical </w:t>
      </w:r>
      <w:r w:rsidR="00127815">
        <w:rPr>
          <w:rFonts w:ascii="Arial" w:hAnsi="Arial" w:cs="Arial"/>
          <w:sz w:val="20"/>
          <w:szCs w:val="20"/>
        </w:rPr>
        <w:t>E</w:t>
      </w:r>
      <w:r w:rsidRPr="00DF50A0">
        <w:rPr>
          <w:rFonts w:ascii="Arial" w:hAnsi="Arial" w:cs="Arial"/>
          <w:sz w:val="20"/>
          <w:szCs w:val="20"/>
        </w:rPr>
        <w:t>pidemiology. 1996 Dec 1;49(12):1373-9.</w:t>
      </w:r>
      <w:r w:rsidR="00AF0358">
        <w:rPr>
          <w:rFonts w:ascii="Arial" w:hAnsi="Arial" w:cs="Arial"/>
          <w:sz w:val="20"/>
          <w:szCs w:val="20"/>
        </w:rPr>
        <w:t xml:space="preserve"> </w:t>
      </w:r>
      <w:hyperlink r:id="rId38" w:history="1">
        <w:r w:rsidR="00AF0358" w:rsidRPr="00360F5B">
          <w:rPr>
            <w:rStyle w:val="Hyperlink"/>
            <w:rFonts w:ascii="Arial" w:hAnsi="Arial" w:cs="Arial"/>
            <w:sz w:val="20"/>
            <w:szCs w:val="20"/>
          </w:rPr>
          <w:t>https://doi.org/10.1016/S0895-4356(96)00236-3</w:t>
        </w:r>
      </w:hyperlink>
      <w:bookmarkEnd w:id="22"/>
      <w:r w:rsidR="00AF0358">
        <w:rPr>
          <w:rFonts w:ascii="Arial" w:hAnsi="Arial" w:cs="Arial"/>
          <w:sz w:val="20"/>
          <w:szCs w:val="20"/>
        </w:rPr>
        <w:t xml:space="preserve"> </w:t>
      </w:r>
    </w:p>
    <w:p w14:paraId="4EF3D3BF" w14:textId="4C3BCAD3" w:rsidR="00DF50A0" w:rsidRDefault="00DF50A0" w:rsidP="00FB0B95">
      <w:pPr>
        <w:pStyle w:val="NormalWeb"/>
        <w:numPr>
          <w:ilvl w:val="0"/>
          <w:numId w:val="1"/>
        </w:numPr>
        <w:spacing w:before="0" w:beforeAutospacing="0" w:after="0" w:afterAutospacing="0"/>
        <w:ind w:left="288" w:hanging="288"/>
        <w:jc w:val="both"/>
        <w:rPr>
          <w:rFonts w:ascii="Arial" w:hAnsi="Arial" w:cs="Arial"/>
          <w:sz w:val="20"/>
          <w:szCs w:val="20"/>
        </w:rPr>
      </w:pPr>
      <w:bookmarkStart w:id="23" w:name="_Ref230600329"/>
      <w:r w:rsidRPr="00DF50A0">
        <w:rPr>
          <w:rFonts w:ascii="Arial" w:hAnsi="Arial" w:cs="Arial"/>
          <w:sz w:val="20"/>
          <w:szCs w:val="20"/>
        </w:rPr>
        <w:t xml:space="preserve">Park JS, Park HJ, Kim SH, Oh JH. Prognostic factors affecting rotator cuff healing after arthroscopic repair in small to medium-sized tears. The American </w:t>
      </w:r>
      <w:r w:rsidR="00127815">
        <w:rPr>
          <w:rFonts w:ascii="Arial" w:hAnsi="Arial" w:cs="Arial"/>
          <w:sz w:val="20"/>
          <w:szCs w:val="20"/>
        </w:rPr>
        <w:t>J</w:t>
      </w:r>
      <w:r w:rsidRPr="00DF50A0">
        <w:rPr>
          <w:rFonts w:ascii="Arial" w:hAnsi="Arial" w:cs="Arial"/>
          <w:sz w:val="20"/>
          <w:szCs w:val="20"/>
        </w:rPr>
        <w:t xml:space="preserve">ournal of </w:t>
      </w:r>
      <w:r w:rsidR="00127815">
        <w:rPr>
          <w:rFonts w:ascii="Arial" w:hAnsi="Arial" w:cs="Arial"/>
          <w:sz w:val="20"/>
          <w:szCs w:val="20"/>
        </w:rPr>
        <w:t>S</w:t>
      </w:r>
      <w:r w:rsidRPr="00DF50A0">
        <w:rPr>
          <w:rFonts w:ascii="Arial" w:hAnsi="Arial" w:cs="Arial"/>
          <w:sz w:val="20"/>
          <w:szCs w:val="20"/>
        </w:rPr>
        <w:t xml:space="preserve">ports </w:t>
      </w:r>
      <w:r w:rsidR="00127815">
        <w:rPr>
          <w:rFonts w:ascii="Arial" w:hAnsi="Arial" w:cs="Arial"/>
          <w:sz w:val="20"/>
          <w:szCs w:val="20"/>
        </w:rPr>
        <w:t>M</w:t>
      </w:r>
      <w:r w:rsidRPr="00DF50A0">
        <w:rPr>
          <w:rFonts w:ascii="Arial" w:hAnsi="Arial" w:cs="Arial"/>
          <w:sz w:val="20"/>
          <w:szCs w:val="20"/>
        </w:rPr>
        <w:t>edicine. 2015 Oct;43(10):2386-92.</w:t>
      </w:r>
      <w:r w:rsidR="00AF0358">
        <w:rPr>
          <w:rFonts w:ascii="Arial" w:hAnsi="Arial" w:cs="Arial"/>
          <w:sz w:val="20"/>
          <w:szCs w:val="20"/>
        </w:rPr>
        <w:t xml:space="preserve"> </w:t>
      </w:r>
      <w:hyperlink r:id="rId39" w:history="1">
        <w:r w:rsidR="00AF0358" w:rsidRPr="00360F5B">
          <w:rPr>
            <w:rStyle w:val="Hyperlink"/>
            <w:rFonts w:ascii="Arial" w:hAnsi="Arial" w:cs="Arial"/>
            <w:sz w:val="20"/>
            <w:szCs w:val="20"/>
          </w:rPr>
          <w:t>https://doi.org/10.1177/0363546515594449</w:t>
        </w:r>
      </w:hyperlink>
      <w:bookmarkEnd w:id="23"/>
      <w:r w:rsidR="00AF0358">
        <w:rPr>
          <w:rFonts w:ascii="Arial" w:hAnsi="Arial" w:cs="Arial"/>
          <w:sz w:val="20"/>
          <w:szCs w:val="20"/>
        </w:rPr>
        <w:t xml:space="preserve"> </w:t>
      </w:r>
    </w:p>
    <w:p w14:paraId="68A98C3B" w14:textId="7FF24EED" w:rsidR="00DF50A0" w:rsidRDefault="00DF50A0" w:rsidP="00094BE8">
      <w:pPr>
        <w:pStyle w:val="NormalWeb"/>
        <w:numPr>
          <w:ilvl w:val="0"/>
          <w:numId w:val="1"/>
        </w:numPr>
        <w:spacing w:before="0" w:beforeAutospacing="0" w:after="0" w:afterAutospacing="0"/>
        <w:ind w:left="288" w:hanging="288"/>
        <w:jc w:val="both"/>
        <w:rPr>
          <w:rFonts w:ascii="Arial" w:hAnsi="Arial" w:cs="Arial"/>
          <w:sz w:val="20"/>
          <w:szCs w:val="20"/>
        </w:rPr>
      </w:pPr>
      <w:bookmarkStart w:id="24" w:name="_Ref230600339"/>
      <w:r w:rsidRPr="00DF50A0">
        <w:rPr>
          <w:rFonts w:ascii="Arial" w:hAnsi="Arial" w:cs="Arial"/>
          <w:sz w:val="20"/>
          <w:szCs w:val="20"/>
        </w:rPr>
        <w:t xml:space="preserve">Kwon J, Kim SH, Lee YH, Kim TI, Oh JH. The rotator cuff healing index: a new scoring system to predict rotator cuff healing after surgical repair. The American </w:t>
      </w:r>
      <w:r w:rsidR="00127815">
        <w:rPr>
          <w:rFonts w:ascii="Arial" w:hAnsi="Arial" w:cs="Arial"/>
          <w:sz w:val="20"/>
          <w:szCs w:val="20"/>
        </w:rPr>
        <w:t>J</w:t>
      </w:r>
      <w:r w:rsidRPr="00DF50A0">
        <w:rPr>
          <w:rFonts w:ascii="Arial" w:hAnsi="Arial" w:cs="Arial"/>
          <w:sz w:val="20"/>
          <w:szCs w:val="20"/>
        </w:rPr>
        <w:t xml:space="preserve">ournal of </w:t>
      </w:r>
      <w:r w:rsidR="00127815">
        <w:rPr>
          <w:rFonts w:ascii="Arial" w:hAnsi="Arial" w:cs="Arial"/>
          <w:sz w:val="20"/>
          <w:szCs w:val="20"/>
        </w:rPr>
        <w:t>S</w:t>
      </w:r>
      <w:r w:rsidRPr="00DF50A0">
        <w:rPr>
          <w:rFonts w:ascii="Arial" w:hAnsi="Arial" w:cs="Arial"/>
          <w:sz w:val="20"/>
          <w:szCs w:val="20"/>
        </w:rPr>
        <w:t xml:space="preserve">ports </w:t>
      </w:r>
      <w:r w:rsidR="00127815">
        <w:rPr>
          <w:rFonts w:ascii="Arial" w:hAnsi="Arial" w:cs="Arial"/>
          <w:sz w:val="20"/>
          <w:szCs w:val="20"/>
        </w:rPr>
        <w:t>M</w:t>
      </w:r>
      <w:r w:rsidRPr="00DF50A0">
        <w:rPr>
          <w:rFonts w:ascii="Arial" w:hAnsi="Arial" w:cs="Arial"/>
          <w:sz w:val="20"/>
          <w:szCs w:val="20"/>
        </w:rPr>
        <w:t>edicine. 2019 Jan;47(1):173-80.</w:t>
      </w:r>
      <w:r w:rsidR="00AF0358">
        <w:rPr>
          <w:rFonts w:ascii="Arial" w:hAnsi="Arial" w:cs="Arial"/>
          <w:sz w:val="20"/>
          <w:szCs w:val="20"/>
        </w:rPr>
        <w:t xml:space="preserve"> </w:t>
      </w:r>
      <w:hyperlink r:id="rId40" w:history="1">
        <w:r w:rsidR="00AF0358" w:rsidRPr="00360F5B">
          <w:rPr>
            <w:rStyle w:val="Hyperlink"/>
            <w:rFonts w:ascii="Arial" w:hAnsi="Arial" w:cs="Arial"/>
            <w:sz w:val="20"/>
            <w:szCs w:val="20"/>
          </w:rPr>
          <w:t>https://doi.org/10.1177/0363546518810763</w:t>
        </w:r>
      </w:hyperlink>
      <w:bookmarkEnd w:id="24"/>
      <w:r w:rsidR="00AF0358">
        <w:rPr>
          <w:rFonts w:ascii="Arial" w:hAnsi="Arial" w:cs="Arial"/>
          <w:sz w:val="20"/>
          <w:szCs w:val="20"/>
        </w:rPr>
        <w:t xml:space="preserve"> </w:t>
      </w:r>
    </w:p>
    <w:p w14:paraId="1736E25A" w14:textId="5EB37F2F" w:rsidR="00FE1673" w:rsidRPr="00504B2A" w:rsidRDefault="001D3062" w:rsidP="001D3062">
      <w:pPr>
        <w:pStyle w:val="NormalWeb"/>
        <w:numPr>
          <w:ilvl w:val="0"/>
          <w:numId w:val="1"/>
        </w:numPr>
        <w:spacing w:before="0" w:beforeAutospacing="0" w:after="0" w:afterAutospacing="0"/>
        <w:ind w:left="288" w:hanging="288"/>
        <w:jc w:val="both"/>
        <w:rPr>
          <w:rFonts w:ascii="Arial" w:hAnsi="Arial" w:cs="Arial"/>
          <w:sz w:val="20"/>
          <w:szCs w:val="20"/>
        </w:rPr>
      </w:pPr>
      <w:bookmarkStart w:id="25" w:name="_Ref230600348"/>
      <w:proofErr w:type="spellStart"/>
      <w:r w:rsidRPr="001D3062">
        <w:rPr>
          <w:rFonts w:ascii="Arial" w:hAnsi="Arial" w:cs="Arial"/>
          <w:sz w:val="20"/>
          <w:szCs w:val="20"/>
        </w:rPr>
        <w:t>Codsi</w:t>
      </w:r>
      <w:proofErr w:type="spellEnd"/>
      <w:r w:rsidRPr="001D3062">
        <w:rPr>
          <w:rFonts w:ascii="Arial" w:hAnsi="Arial" w:cs="Arial"/>
          <w:sz w:val="20"/>
          <w:szCs w:val="20"/>
        </w:rPr>
        <w:t xml:space="preserve"> MJ, Rodeo SA, Scalise JJ, Moorehead TM, Ma CB. Assessment of rotator cuff repair integrity using ultrasound and magnetic resonance imaging in a </w:t>
      </w:r>
      <w:proofErr w:type="spellStart"/>
      <w:r w:rsidRPr="001D3062">
        <w:rPr>
          <w:rFonts w:ascii="Arial" w:hAnsi="Arial" w:cs="Arial"/>
          <w:sz w:val="20"/>
          <w:szCs w:val="20"/>
        </w:rPr>
        <w:t>multicenter</w:t>
      </w:r>
      <w:proofErr w:type="spellEnd"/>
      <w:r w:rsidRPr="001D3062">
        <w:rPr>
          <w:rFonts w:ascii="Arial" w:hAnsi="Arial" w:cs="Arial"/>
          <w:sz w:val="20"/>
          <w:szCs w:val="20"/>
        </w:rPr>
        <w:t xml:space="preserve"> study. Journal of Shoulder and Elbow Surgery. 2014 Oct 1;23(10):1468-72.</w:t>
      </w:r>
      <w:r w:rsidR="00AF0358">
        <w:rPr>
          <w:rFonts w:ascii="Arial" w:hAnsi="Arial" w:cs="Arial"/>
          <w:sz w:val="20"/>
          <w:szCs w:val="20"/>
        </w:rPr>
        <w:t xml:space="preserve"> </w:t>
      </w:r>
      <w:hyperlink r:id="rId41" w:history="1">
        <w:r w:rsidR="00AF0358" w:rsidRPr="00360F5B">
          <w:rPr>
            <w:rStyle w:val="Hyperlink"/>
            <w:rFonts w:ascii="Arial" w:hAnsi="Arial" w:cs="Arial"/>
            <w:sz w:val="20"/>
            <w:szCs w:val="20"/>
          </w:rPr>
          <w:t>https://doi.org/10.1016/j.jse.2014.01.045</w:t>
        </w:r>
      </w:hyperlink>
      <w:bookmarkEnd w:id="25"/>
      <w:r w:rsidR="00AF0358">
        <w:rPr>
          <w:rFonts w:ascii="Arial" w:hAnsi="Arial" w:cs="Arial"/>
          <w:sz w:val="20"/>
          <w:szCs w:val="20"/>
        </w:rPr>
        <w:t xml:space="preserve"> </w:t>
      </w:r>
    </w:p>
    <w:sectPr w:rsidR="00FE1673" w:rsidRPr="00504B2A" w:rsidSect="002B741E">
      <w:type w:val="continuous"/>
      <w:pgSz w:w="11906" w:h="16838"/>
      <w:pgMar w:top="1440" w:right="1440" w:bottom="1440" w:left="1440" w:header="720" w:footer="720" w:gutter="0"/>
      <w:cols w:num="2" w:space="4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77564" w14:textId="77777777" w:rsidR="003914A6" w:rsidRDefault="003914A6" w:rsidP="00596498">
      <w:pPr>
        <w:spacing w:after="0" w:line="240" w:lineRule="auto"/>
      </w:pPr>
      <w:r>
        <w:separator/>
      </w:r>
    </w:p>
  </w:endnote>
  <w:endnote w:type="continuationSeparator" w:id="0">
    <w:p w14:paraId="590C209F" w14:textId="77777777" w:rsidR="003914A6" w:rsidRDefault="003914A6" w:rsidP="00596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color w:val="0000FF"/>
      </w:rPr>
      <w:id w:val="1139696841"/>
      <w:docPartObj>
        <w:docPartGallery w:val="Page Numbers (Bottom of Page)"/>
        <w:docPartUnique/>
      </w:docPartObj>
    </w:sdtPr>
    <w:sdtEndPr>
      <w:rPr>
        <w:noProof/>
      </w:rPr>
    </w:sdtEndPr>
    <w:sdtContent>
      <w:p w14:paraId="328EDD35" w14:textId="1FCF32A7" w:rsidR="00B26532" w:rsidRPr="00B26532" w:rsidRDefault="00B26532">
        <w:pPr>
          <w:pStyle w:val="Footer"/>
          <w:jc w:val="right"/>
          <w:rPr>
            <w:rFonts w:ascii="Arial" w:hAnsi="Arial" w:cs="Arial"/>
            <w:color w:val="0000FF"/>
          </w:rPr>
        </w:pPr>
        <w:r w:rsidRPr="00B26532">
          <w:rPr>
            <w:rFonts w:ascii="Arial" w:hAnsi="Arial" w:cs="Arial"/>
            <w:color w:val="0000FF"/>
          </w:rPr>
          <w:fldChar w:fldCharType="begin"/>
        </w:r>
        <w:r w:rsidRPr="00B26532">
          <w:rPr>
            <w:rFonts w:ascii="Arial" w:hAnsi="Arial" w:cs="Arial"/>
            <w:color w:val="0000FF"/>
          </w:rPr>
          <w:instrText xml:space="preserve"> PAGE   \* MERGEFORMAT </w:instrText>
        </w:r>
        <w:r w:rsidRPr="00B26532">
          <w:rPr>
            <w:rFonts w:ascii="Arial" w:hAnsi="Arial" w:cs="Arial"/>
            <w:color w:val="0000FF"/>
          </w:rPr>
          <w:fldChar w:fldCharType="separate"/>
        </w:r>
        <w:r w:rsidRPr="00B26532">
          <w:rPr>
            <w:rFonts w:ascii="Arial" w:hAnsi="Arial" w:cs="Arial"/>
            <w:noProof/>
            <w:color w:val="0000FF"/>
          </w:rPr>
          <w:t>2</w:t>
        </w:r>
        <w:r w:rsidRPr="00B26532">
          <w:rPr>
            <w:rFonts w:ascii="Arial" w:hAnsi="Arial" w:cs="Arial"/>
            <w:noProof/>
            <w:color w:val="0000FF"/>
          </w:rPr>
          <w:fldChar w:fldCharType="end"/>
        </w:r>
      </w:p>
    </w:sdtContent>
  </w:sdt>
  <w:p w14:paraId="3E1CF2E2" w14:textId="77777777" w:rsidR="00B26532" w:rsidRDefault="00B265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32DF7" w14:textId="77777777" w:rsidR="00596498" w:rsidRDefault="00596498" w:rsidP="00596498">
    <w:pPr>
      <w:autoSpaceDE w:val="0"/>
      <w:autoSpaceDN w:val="0"/>
      <w:adjustRightInd w:val="0"/>
      <w:spacing w:after="0" w:line="240" w:lineRule="auto"/>
      <w:rPr>
        <w:rFonts w:ascii="Arial" w:eastAsia="SimSun" w:hAnsi="Arial" w:cs="Arial"/>
        <w:bCs/>
        <w:color w:val="000000"/>
        <w:sz w:val="16"/>
        <w:szCs w:val="16"/>
      </w:rPr>
    </w:pPr>
  </w:p>
  <w:p w14:paraId="6212EB44" w14:textId="2D20C646" w:rsidR="00596498" w:rsidRPr="00BC04BD" w:rsidRDefault="00596498" w:rsidP="00596498">
    <w:pPr>
      <w:autoSpaceDE w:val="0"/>
      <w:autoSpaceDN w:val="0"/>
      <w:adjustRightInd w:val="0"/>
      <w:spacing w:after="0" w:line="240" w:lineRule="auto"/>
      <w:rPr>
        <w:rFonts w:ascii="Arial" w:eastAsia="SimSun" w:hAnsi="Arial" w:cs="Arial"/>
        <w:bCs/>
        <w:color w:val="000000"/>
        <w:sz w:val="16"/>
        <w:szCs w:val="16"/>
      </w:rPr>
    </w:pPr>
    <w:r w:rsidRPr="00BC04BD">
      <w:rPr>
        <w:rFonts w:ascii="Arial" w:eastAsia="SimSun" w:hAnsi="Arial" w:cs="Arial"/>
        <w:bCs/>
        <w:color w:val="000000"/>
        <w:sz w:val="16"/>
        <w:szCs w:val="16"/>
      </w:rPr>
      <w:t>Correspondence:</w:t>
    </w:r>
  </w:p>
  <w:p w14:paraId="4FA320C7" w14:textId="40A00463" w:rsidR="00596498" w:rsidRPr="00596498" w:rsidRDefault="00564EDB" w:rsidP="00596498">
    <w:pPr>
      <w:tabs>
        <w:tab w:val="center" w:pos="4680"/>
        <w:tab w:val="right" w:pos="9360"/>
      </w:tabs>
      <w:autoSpaceDE w:val="0"/>
      <w:autoSpaceDN w:val="0"/>
      <w:adjustRightInd w:val="0"/>
      <w:spacing w:after="0" w:line="240" w:lineRule="auto"/>
      <w:rPr>
        <w:rFonts w:ascii="Arial" w:eastAsia="Times New Roman" w:hAnsi="Arial" w:cs="Arial"/>
        <w:iCs/>
        <w:color w:val="000000"/>
        <w:sz w:val="16"/>
        <w:szCs w:val="16"/>
        <w:shd w:val="clear" w:color="auto" w:fill="FFFFFF"/>
      </w:rPr>
    </w:pPr>
    <w:r>
      <w:rPr>
        <w:rFonts w:ascii="Arial" w:eastAsia="Times New Roman" w:hAnsi="Arial" w:cs="Arial"/>
        <w:iCs/>
        <w:color w:val="000000"/>
        <w:sz w:val="16"/>
        <w:szCs w:val="16"/>
        <w:shd w:val="clear" w:color="auto" w:fill="FFFFFF"/>
      </w:rPr>
      <w:t xml:space="preserve">Khanh, </w:t>
    </w:r>
    <w:r w:rsidR="00596498" w:rsidRPr="00596498">
      <w:rPr>
        <w:rFonts w:ascii="Arial" w:eastAsia="Times New Roman" w:hAnsi="Arial" w:cs="Arial"/>
        <w:iCs/>
        <w:color w:val="000000"/>
        <w:sz w:val="16"/>
        <w:szCs w:val="16"/>
        <w:shd w:val="clear" w:color="auto" w:fill="FFFFFF"/>
      </w:rPr>
      <w:t>Nguyen</w:t>
    </w:r>
    <w:r>
      <w:rPr>
        <w:rFonts w:ascii="Arial" w:eastAsia="Times New Roman" w:hAnsi="Arial" w:cs="Arial"/>
        <w:iCs/>
        <w:color w:val="000000"/>
        <w:sz w:val="16"/>
        <w:szCs w:val="16"/>
        <w:shd w:val="clear" w:color="auto" w:fill="FFFFFF"/>
      </w:rPr>
      <w:t xml:space="preserve"> </w:t>
    </w:r>
    <w:r>
      <w:rPr>
        <w:rFonts w:ascii="Arial" w:eastAsia="Times New Roman" w:hAnsi="Arial" w:cs="Arial"/>
        <w:iCs/>
        <w:color w:val="000000"/>
        <w:sz w:val="16"/>
        <w:szCs w:val="16"/>
        <w:shd w:val="clear" w:color="auto" w:fill="FFFFFF"/>
      </w:rPr>
      <w:t>Manh</w:t>
    </w:r>
  </w:p>
  <w:p w14:paraId="0B63B9A2" w14:textId="77777777" w:rsidR="002A18CE" w:rsidRDefault="00564EDB" w:rsidP="00596498">
    <w:pPr>
      <w:tabs>
        <w:tab w:val="center" w:pos="4680"/>
        <w:tab w:val="right" w:pos="9360"/>
      </w:tabs>
      <w:autoSpaceDE w:val="0"/>
      <w:autoSpaceDN w:val="0"/>
      <w:adjustRightInd w:val="0"/>
      <w:spacing w:after="0" w:line="240" w:lineRule="auto"/>
      <w:rPr>
        <w:rFonts w:ascii="Arial" w:eastAsia="Times New Roman" w:hAnsi="Arial" w:cs="Arial"/>
        <w:iCs/>
        <w:color w:val="000000"/>
        <w:sz w:val="16"/>
        <w:szCs w:val="16"/>
        <w:shd w:val="clear" w:color="auto" w:fill="FFFFFF"/>
      </w:rPr>
    </w:pPr>
    <w:r w:rsidRPr="00564EDB">
      <w:rPr>
        <w:rFonts w:ascii="Arial" w:eastAsia="Times New Roman" w:hAnsi="Arial" w:cs="Arial"/>
        <w:iCs/>
        <w:color w:val="000000"/>
        <w:sz w:val="16"/>
        <w:szCs w:val="16"/>
        <w:shd w:val="clear" w:color="auto" w:fill="FFFFFF"/>
      </w:rPr>
      <w:t>Viet Duc University Hospital,</w:t>
    </w:r>
    <w:r w:rsidR="00385D3C">
      <w:rPr>
        <w:rFonts w:ascii="Arial" w:eastAsia="Times New Roman" w:hAnsi="Arial" w:cs="Arial"/>
        <w:iCs/>
        <w:color w:val="000000"/>
        <w:sz w:val="16"/>
        <w:szCs w:val="16"/>
        <w:shd w:val="clear" w:color="auto" w:fill="FFFFFF"/>
      </w:rPr>
      <w:t xml:space="preserve"> </w:t>
    </w:r>
    <w:r w:rsidRPr="00564EDB">
      <w:rPr>
        <w:rFonts w:ascii="Arial" w:eastAsia="Times New Roman" w:hAnsi="Arial" w:cs="Arial"/>
        <w:iCs/>
        <w:color w:val="000000"/>
        <w:sz w:val="16"/>
        <w:szCs w:val="16"/>
        <w:shd w:val="clear" w:color="auto" w:fill="FFFFFF"/>
      </w:rPr>
      <w:t>Hanoi, Vietnam</w:t>
    </w:r>
    <w:r w:rsidR="002A18CE">
      <w:rPr>
        <w:rFonts w:ascii="Arial" w:eastAsia="Times New Roman" w:hAnsi="Arial" w:cs="Arial"/>
        <w:iCs/>
        <w:color w:val="000000"/>
        <w:sz w:val="16"/>
        <w:szCs w:val="16"/>
        <w:shd w:val="clear" w:color="auto" w:fill="FFFFFF"/>
      </w:rPr>
      <w:t xml:space="preserve"> 100000 </w:t>
    </w:r>
  </w:p>
  <w:p w14:paraId="72BFF9B8" w14:textId="57CD325D" w:rsidR="00596498" w:rsidRPr="00596498" w:rsidRDefault="002A18CE" w:rsidP="00596498">
    <w:pPr>
      <w:tabs>
        <w:tab w:val="center" w:pos="4680"/>
        <w:tab w:val="right" w:pos="9360"/>
      </w:tabs>
      <w:autoSpaceDE w:val="0"/>
      <w:autoSpaceDN w:val="0"/>
      <w:adjustRightInd w:val="0"/>
      <w:spacing w:after="0" w:line="240" w:lineRule="auto"/>
      <w:rPr>
        <w:rFonts w:ascii="Arial" w:eastAsia="Times New Roman" w:hAnsi="Arial" w:cs="Arial"/>
        <w:iCs/>
        <w:color w:val="000000"/>
        <w:sz w:val="16"/>
        <w:szCs w:val="16"/>
        <w:shd w:val="clear" w:color="auto" w:fill="FFFFFF"/>
      </w:rPr>
    </w:pPr>
    <w:r>
      <w:rPr>
        <w:rFonts w:ascii="Arial" w:eastAsia="Times New Roman" w:hAnsi="Arial" w:cs="Arial"/>
        <w:iCs/>
        <w:color w:val="000000"/>
        <w:sz w:val="16"/>
        <w:szCs w:val="16"/>
        <w:shd w:val="clear" w:color="auto" w:fill="FFFFFF"/>
      </w:rPr>
      <w:t>+84</w:t>
    </w:r>
    <w:r w:rsidRPr="002A18CE">
      <w:rPr>
        <w:rFonts w:ascii="Arial" w:eastAsia="Times New Roman" w:hAnsi="Arial" w:cs="Arial"/>
        <w:iCs/>
        <w:color w:val="000000"/>
        <w:sz w:val="16"/>
        <w:szCs w:val="16"/>
        <w:shd w:val="clear" w:color="auto" w:fill="FFFFFF"/>
      </w:rPr>
      <w:t>913588199</w:t>
    </w:r>
    <w:r>
      <w:rPr>
        <w:rFonts w:ascii="Arial" w:eastAsia="Times New Roman" w:hAnsi="Arial" w:cs="Arial"/>
        <w:iCs/>
        <w:color w:val="000000"/>
        <w:sz w:val="16"/>
        <w:szCs w:val="16"/>
        <w:shd w:val="clear" w:color="auto" w:fill="FFFFFF"/>
      </w:rPr>
      <w:t xml:space="preserve">; </w:t>
    </w:r>
    <w:hyperlink r:id="rId1" w:history="1">
      <w:r w:rsidRPr="001A40CD">
        <w:rPr>
          <w:rStyle w:val="Hyperlink"/>
          <w:rFonts w:ascii="Arial" w:eastAsia="Times New Roman" w:hAnsi="Arial" w:cs="Arial"/>
          <w:iCs/>
          <w:sz w:val="16"/>
          <w:szCs w:val="16"/>
          <w:shd w:val="clear" w:color="auto" w:fill="FFFFFF"/>
        </w:rPr>
        <w:t>ngmanhkhanh@gmail.com</w:t>
      </w:r>
    </w:hyperlink>
  </w:p>
  <w:p w14:paraId="73BFDAB5" w14:textId="77777777" w:rsidR="00596498" w:rsidRPr="00EF1A04" w:rsidRDefault="00596498" w:rsidP="00596498">
    <w:pPr>
      <w:tabs>
        <w:tab w:val="center" w:pos="4680"/>
        <w:tab w:val="right" w:pos="9360"/>
      </w:tabs>
      <w:autoSpaceDE w:val="0"/>
      <w:autoSpaceDN w:val="0"/>
      <w:adjustRightInd w:val="0"/>
      <w:spacing w:after="0" w:line="240" w:lineRule="auto"/>
      <w:rPr>
        <w:rFonts w:ascii="Arial" w:eastAsia="Times New Roman" w:hAnsi="Arial" w:cs="Arial"/>
        <w:color w:val="0000FF"/>
        <w:sz w:val="12"/>
        <w:szCs w:val="12"/>
        <w:lang w:val="pt-BR"/>
      </w:rPr>
    </w:pPr>
  </w:p>
  <w:p w14:paraId="22364140" w14:textId="04EF6A23" w:rsidR="00596498" w:rsidRPr="00BC04BD" w:rsidRDefault="00596498" w:rsidP="00596498">
    <w:pPr>
      <w:tabs>
        <w:tab w:val="center" w:pos="4680"/>
        <w:tab w:val="right" w:pos="9360"/>
      </w:tabs>
      <w:autoSpaceDE w:val="0"/>
      <w:autoSpaceDN w:val="0"/>
      <w:adjustRightInd w:val="0"/>
      <w:spacing w:after="0" w:line="240" w:lineRule="auto"/>
      <w:rPr>
        <w:rFonts w:ascii="Arial" w:eastAsia="Times New Roman" w:hAnsi="Arial" w:cs="Arial"/>
        <w:color w:val="000000"/>
        <w:sz w:val="12"/>
        <w:szCs w:val="12"/>
      </w:rPr>
    </w:pPr>
    <w:r w:rsidRPr="00BC04BD">
      <w:rPr>
        <w:rFonts w:ascii="Arial" w:eastAsia="Times New Roman" w:hAnsi="Arial" w:cs="Arial"/>
        <w:color w:val="000000"/>
        <w:sz w:val="12"/>
        <w:szCs w:val="12"/>
      </w:rPr>
      <w:t>© BUMJ. 2026 Open Access</w:t>
    </w:r>
    <w:r w:rsidR="00C21A6D">
      <w:rPr>
        <w:rFonts w:ascii="Arial" w:eastAsia="Times New Roman" w:hAnsi="Arial" w:cs="Arial"/>
        <w:color w:val="000000"/>
        <w:sz w:val="12"/>
        <w:szCs w:val="12"/>
      </w:rPr>
      <w:t>.</w:t>
    </w:r>
    <w:r w:rsidRPr="00BC04BD">
      <w:rPr>
        <w:rFonts w:ascii="Arial" w:eastAsia="Times New Roman" w:hAnsi="Arial" w:cs="Arial"/>
        <w:color w:val="000000"/>
        <w:sz w:val="12"/>
        <w:szCs w:val="12"/>
      </w:rPr>
      <w:t xml:space="preserve"> This article is distributed under the terms of the Creative Commons Attribution 4.0 International License</w:t>
    </w:r>
  </w:p>
  <w:p w14:paraId="68F5143D" w14:textId="0BA3FCAA" w:rsidR="00596498" w:rsidRPr="00596498" w:rsidRDefault="00596498" w:rsidP="00596498">
    <w:pPr>
      <w:tabs>
        <w:tab w:val="center" w:pos="4680"/>
        <w:tab w:val="right" w:pos="9360"/>
      </w:tabs>
      <w:autoSpaceDE w:val="0"/>
      <w:autoSpaceDN w:val="0"/>
      <w:adjustRightInd w:val="0"/>
      <w:spacing w:after="0" w:line="240" w:lineRule="auto"/>
      <w:rPr>
        <w:rFonts w:ascii="Arial" w:eastAsia="Times New Roman" w:hAnsi="Arial" w:cs="Arial"/>
        <w:color w:val="000000"/>
        <w:sz w:val="12"/>
        <w:szCs w:val="12"/>
      </w:rPr>
    </w:pPr>
    <w:r w:rsidRPr="00BC04BD">
      <w:rPr>
        <w:rFonts w:ascii="Arial" w:eastAsia="Times New Roman" w:hAnsi="Arial" w:cs="Arial"/>
        <w:color w:val="000000"/>
        <w:sz w:val="12"/>
        <w:szCs w:val="12"/>
      </w:rPr>
      <w:t>(</w:t>
    </w:r>
    <w:hyperlink r:id="rId2" w:history="1">
      <w:r w:rsidRPr="00BC04BD">
        <w:rPr>
          <w:rFonts w:ascii="Arial" w:eastAsia="Times New Roman" w:hAnsi="Arial" w:cs="Arial"/>
          <w:color w:val="0000FF"/>
          <w:sz w:val="12"/>
          <w:szCs w:val="12"/>
          <w:u w:val="single"/>
        </w:rPr>
        <w:t>http://creativecommons.org/licenses/by/4.0/</w:t>
      </w:r>
    </w:hyperlink>
    <w:r w:rsidRPr="00BC04BD">
      <w:rPr>
        <w:rFonts w:ascii="Arial" w:eastAsia="Times New Roman" w:hAnsi="Arial" w:cs="Arial"/>
        <w:color w:val="000000"/>
        <w:sz w:val="12"/>
        <w:szCs w:val="12"/>
      </w:rPr>
      <w:t>), which permits unrestricted use, distribution, and reproduction in any medium, provided you give appropriate credit to the original author(s) and the source, provide a link to the Creative Commons license, and indicate if changes were made. The Creative Commons Public Domain Dedication waiver (</w:t>
    </w:r>
    <w:hyperlink r:id="rId3" w:history="1">
      <w:r w:rsidRPr="00BC04BD">
        <w:rPr>
          <w:rFonts w:ascii="Arial" w:eastAsia="Times New Roman" w:hAnsi="Arial" w:cs="Arial"/>
          <w:color w:val="0000FF"/>
          <w:sz w:val="12"/>
          <w:szCs w:val="12"/>
          <w:u w:val="single"/>
        </w:rPr>
        <w:t>http://creativecommons.org/publicdomain/zero/1.0/</w:t>
      </w:r>
    </w:hyperlink>
    <w:r w:rsidRPr="00BC04BD">
      <w:rPr>
        <w:rFonts w:ascii="Arial" w:eastAsia="Times New Roman" w:hAnsi="Arial" w:cs="Arial"/>
        <w:color w:val="000000"/>
        <w:sz w:val="12"/>
        <w:szCs w:val="12"/>
      </w:rPr>
      <w:t>) applies to the data made available in this article, unless otherwise stated.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FFDDC" w14:textId="77777777" w:rsidR="003914A6" w:rsidRDefault="003914A6" w:rsidP="00596498">
      <w:pPr>
        <w:spacing w:after="0" w:line="240" w:lineRule="auto"/>
      </w:pPr>
      <w:r>
        <w:separator/>
      </w:r>
    </w:p>
  </w:footnote>
  <w:footnote w:type="continuationSeparator" w:id="0">
    <w:p w14:paraId="5B284AAA" w14:textId="77777777" w:rsidR="003914A6" w:rsidRDefault="003914A6" w:rsidP="005964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4FE5" w14:textId="75A63A89" w:rsidR="00596498" w:rsidRPr="00596498" w:rsidRDefault="00F70026">
    <w:pPr>
      <w:pStyle w:val="Header"/>
      <w:rPr>
        <w:color w:val="0000FF"/>
      </w:rPr>
    </w:pPr>
    <w:r>
      <w:rPr>
        <w:rFonts w:ascii="Arial" w:hAnsi="Arial" w:cs="Arial"/>
        <w:bCs/>
        <w:color w:val="0000FF"/>
        <w:sz w:val="20"/>
        <w:szCs w:val="20"/>
      </w:rPr>
      <w:t>Hai</w:t>
    </w:r>
    <w:r w:rsidR="00596498" w:rsidRPr="00596498">
      <w:rPr>
        <w:rFonts w:ascii="Arial" w:hAnsi="Arial" w:cs="Arial"/>
        <w:bCs/>
        <w:color w:val="0000FF"/>
        <w:sz w:val="20"/>
        <w:szCs w:val="20"/>
      </w:rPr>
      <w:t xml:space="preserve"> </w:t>
    </w:r>
    <w:r w:rsidR="00596498" w:rsidRPr="00596498">
      <w:rPr>
        <w:rFonts w:ascii="Arial" w:hAnsi="Arial" w:cs="Arial"/>
        <w:i/>
        <w:color w:val="0000FF"/>
        <w:sz w:val="20"/>
        <w:szCs w:val="20"/>
      </w:rPr>
      <w:t xml:space="preserve">et. al., </w:t>
    </w:r>
    <w:r w:rsidR="00596498" w:rsidRPr="00596498">
      <w:rPr>
        <w:rFonts w:ascii="Arial" w:hAnsi="Arial" w:cs="Arial"/>
        <w:color w:val="0000FF"/>
        <w:sz w:val="20"/>
        <w:szCs w:val="20"/>
      </w:rPr>
      <w:t>Babcock Univ. Med. J.2026 9(</w:t>
    </w:r>
    <w:r w:rsidR="0072765F">
      <w:rPr>
        <w:rFonts w:ascii="Arial" w:hAnsi="Arial" w:cs="Arial"/>
        <w:color w:val="0000FF"/>
        <w:sz w:val="20"/>
        <w:szCs w:val="20"/>
      </w:rPr>
      <w:t>S1</w:t>
    </w:r>
    <w:r w:rsidR="00596498" w:rsidRPr="00596498">
      <w:rPr>
        <w:rFonts w:ascii="Arial" w:hAnsi="Arial" w:cs="Arial"/>
        <w:color w:val="0000FF"/>
        <w:sz w:val="20"/>
        <w:szCs w:val="20"/>
      </w:rPr>
      <w:t>)</w:t>
    </w:r>
    <w:r w:rsidR="0072765F">
      <w:rPr>
        <w:rFonts w:ascii="Arial" w:hAnsi="Arial" w:cs="Arial"/>
        <w:color w:val="0000FF"/>
        <w:sz w:val="20"/>
        <w:szCs w:val="20"/>
      </w:rPr>
      <w:t>:90-97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E8EF6" w14:textId="6627E682" w:rsidR="00596498" w:rsidRPr="00384349" w:rsidRDefault="00F70026" w:rsidP="00596498">
    <w:pPr>
      <w:pStyle w:val="Header"/>
      <w:rPr>
        <w:rFonts w:ascii="Arial" w:hAnsi="Arial" w:cs="Arial"/>
        <w:sz w:val="20"/>
        <w:szCs w:val="20"/>
      </w:rPr>
    </w:pPr>
    <w:bookmarkStart w:id="0" w:name="_Hlk144824038"/>
    <w:bookmarkStart w:id="1" w:name="_Hlk157341737"/>
    <w:bookmarkStart w:id="2" w:name="_Hlk193443673"/>
    <w:bookmarkStart w:id="3" w:name="_Hlk199939334"/>
    <w:bookmarkStart w:id="4" w:name="_Hlk220401145"/>
    <w:r>
      <w:rPr>
        <w:rFonts w:ascii="Arial" w:hAnsi="Arial" w:cs="Arial"/>
        <w:bCs/>
        <w:sz w:val="20"/>
        <w:szCs w:val="20"/>
      </w:rPr>
      <w:t>Hai</w:t>
    </w:r>
    <w:r w:rsidR="00596498">
      <w:rPr>
        <w:rFonts w:ascii="Arial" w:hAnsi="Arial" w:cs="Arial"/>
        <w:bCs/>
        <w:sz w:val="20"/>
        <w:szCs w:val="20"/>
      </w:rPr>
      <w:t xml:space="preserve"> </w:t>
    </w:r>
    <w:r w:rsidR="00596498" w:rsidRPr="00384349">
      <w:rPr>
        <w:rFonts w:ascii="Arial" w:hAnsi="Arial" w:cs="Arial"/>
        <w:i/>
        <w:sz w:val="20"/>
        <w:szCs w:val="20"/>
      </w:rPr>
      <w:t>et</w:t>
    </w:r>
    <w:r w:rsidR="00596498">
      <w:rPr>
        <w:rFonts w:ascii="Arial" w:hAnsi="Arial" w:cs="Arial"/>
        <w:i/>
        <w:sz w:val="20"/>
        <w:szCs w:val="20"/>
      </w:rPr>
      <w:t>.</w:t>
    </w:r>
    <w:r w:rsidR="00596498" w:rsidRPr="00384349">
      <w:rPr>
        <w:rFonts w:ascii="Arial" w:hAnsi="Arial" w:cs="Arial"/>
        <w:i/>
        <w:sz w:val="20"/>
        <w:szCs w:val="20"/>
      </w:rPr>
      <w:t xml:space="preserve"> al., </w:t>
    </w:r>
    <w:r w:rsidR="00596498" w:rsidRPr="00384349">
      <w:rPr>
        <w:rFonts w:ascii="Arial" w:hAnsi="Arial" w:cs="Arial"/>
        <w:sz w:val="20"/>
        <w:szCs w:val="20"/>
      </w:rPr>
      <w:t>Babcock Univ. Med. J.2026 9(</w:t>
    </w:r>
    <w:r w:rsidR="007D0B11">
      <w:rPr>
        <w:rFonts w:ascii="Arial" w:hAnsi="Arial" w:cs="Arial"/>
        <w:sz w:val="20"/>
        <w:szCs w:val="20"/>
      </w:rPr>
      <w:t>S1</w:t>
    </w:r>
    <w:r w:rsidR="00596498" w:rsidRPr="00384349">
      <w:rPr>
        <w:rFonts w:ascii="Arial" w:hAnsi="Arial" w:cs="Arial"/>
        <w:sz w:val="20"/>
        <w:szCs w:val="20"/>
      </w:rPr>
      <w:t>)</w:t>
    </w:r>
    <w:bookmarkEnd w:id="0"/>
    <w:bookmarkEnd w:id="1"/>
    <w:bookmarkEnd w:id="2"/>
    <w:r w:rsidR="007D0B11">
      <w:rPr>
        <w:rFonts w:ascii="Arial" w:hAnsi="Arial" w:cs="Arial"/>
        <w:sz w:val="20"/>
        <w:szCs w:val="20"/>
      </w:rPr>
      <w:t>:90-</w:t>
    </w:r>
    <w:r w:rsidR="00CD61F3">
      <w:rPr>
        <w:rFonts w:ascii="Arial" w:hAnsi="Arial" w:cs="Arial"/>
        <w:sz w:val="20"/>
        <w:szCs w:val="20"/>
      </w:rPr>
      <w:t>97</w:t>
    </w:r>
    <w:r w:rsidR="00596498">
      <w:rPr>
        <w:rFonts w:ascii="Arial" w:hAnsi="Arial" w:cs="Arial"/>
        <w:sz w:val="20"/>
        <w:szCs w:val="20"/>
      </w:rPr>
      <w:t xml:space="preserve">                  </w:t>
    </w:r>
    <w:r w:rsidR="00596498" w:rsidRPr="00384349">
      <w:rPr>
        <w:rFonts w:ascii="Arial" w:hAnsi="Arial" w:cs="Arial"/>
        <w:sz w:val="20"/>
        <w:szCs w:val="20"/>
      </w:rPr>
      <w:t xml:space="preserve">                          </w:t>
    </w:r>
    <w:r w:rsidR="00596498" w:rsidRPr="00384349">
      <w:rPr>
        <w:rFonts w:ascii="Arial" w:hAnsi="Arial" w:cs="Arial"/>
        <w:noProof/>
        <w:sz w:val="20"/>
        <w:szCs w:val="20"/>
      </w:rPr>
      <w:drawing>
        <wp:inline distT="0" distB="0" distL="0" distR="0" wp14:anchorId="0556F4E4" wp14:editId="73FD7796">
          <wp:extent cx="1295400" cy="438150"/>
          <wp:effectExtent l="0" t="0" r="0" b="0"/>
          <wp:docPr id="647642949" name="Picture 4" descr="Preview of the currently selec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875361" descr="Preview of the currently selected 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438150"/>
                  </a:xfrm>
                  <a:prstGeom prst="rect">
                    <a:avLst/>
                  </a:prstGeom>
                  <a:noFill/>
                  <a:ln>
                    <a:noFill/>
                  </a:ln>
                </pic:spPr>
              </pic:pic>
            </a:graphicData>
          </a:graphic>
        </wp:inline>
      </w:drawing>
    </w:r>
  </w:p>
  <w:p w14:paraId="303F3EBF" w14:textId="2BA94846" w:rsidR="00596498" w:rsidRPr="00384349" w:rsidRDefault="00CD61F3" w:rsidP="00596498">
    <w:pPr>
      <w:pStyle w:val="Header"/>
      <w:rPr>
        <w:rFonts w:ascii="Arial" w:hAnsi="Arial" w:cs="Arial"/>
        <w:sz w:val="20"/>
        <w:szCs w:val="20"/>
      </w:rPr>
    </w:pPr>
    <w:hyperlink r:id="rId2" w:history="1">
      <w:r w:rsidRPr="00502D73">
        <w:rPr>
          <w:rStyle w:val="Hyperlink"/>
          <w:rFonts w:ascii="Arial" w:hAnsi="Arial" w:cs="Arial"/>
          <w:sz w:val="20"/>
          <w:szCs w:val="20"/>
        </w:rPr>
        <w:t>https://doi.org/10.38029/babcockuniv.med.j..v9iS1.1603</w:t>
      </w:r>
    </w:hyperlink>
    <w:r>
      <w:rPr>
        <w:rFonts w:ascii="Arial" w:hAnsi="Arial" w:cs="Arial"/>
        <w:sz w:val="20"/>
        <w:szCs w:val="20"/>
      </w:rPr>
      <w:t xml:space="preserve"> </w:t>
    </w:r>
    <w:r w:rsidR="00596498" w:rsidRPr="00384349">
      <w:rPr>
        <w:rFonts w:ascii="Arial" w:hAnsi="Arial" w:cs="Arial"/>
        <w:sz w:val="20"/>
        <w:szCs w:val="20"/>
      </w:rPr>
      <w:t xml:space="preserve"> </w:t>
    </w:r>
    <w:r>
      <w:rPr>
        <w:rFonts w:ascii="Arial" w:hAnsi="Arial" w:cs="Arial"/>
        <w:sz w:val="20"/>
        <w:szCs w:val="20"/>
      </w:rPr>
      <w:t xml:space="preserve"> </w:t>
    </w:r>
    <w:r w:rsidR="00596498" w:rsidRPr="00384349">
      <w:rPr>
        <w:rFonts w:ascii="Arial" w:hAnsi="Arial" w:cs="Arial"/>
        <w:sz w:val="20"/>
        <w:szCs w:val="20"/>
      </w:rPr>
      <w:t xml:space="preserve">                                         </w:t>
    </w:r>
    <w:proofErr w:type="spellStart"/>
    <w:r w:rsidR="00596498" w:rsidRPr="00384349">
      <w:rPr>
        <w:rFonts w:ascii="Arial" w:hAnsi="Arial" w:cs="Arial"/>
        <w:sz w:val="20"/>
        <w:szCs w:val="20"/>
      </w:rPr>
      <w:t>eISSN</w:t>
    </w:r>
    <w:proofErr w:type="spellEnd"/>
    <w:r w:rsidR="00596498" w:rsidRPr="00384349">
      <w:rPr>
        <w:rFonts w:ascii="Arial" w:hAnsi="Arial" w:cs="Arial"/>
        <w:sz w:val="20"/>
        <w:szCs w:val="20"/>
      </w:rPr>
      <w:t>: 2756-4657</w:t>
    </w:r>
    <w:bookmarkEnd w:id="3"/>
    <w:bookmarkEnd w:id="4"/>
  </w:p>
  <w:p w14:paraId="4152B629" w14:textId="77777777" w:rsidR="00596498" w:rsidRDefault="005964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52F9B"/>
    <w:multiLevelType w:val="hybridMultilevel"/>
    <w:tmpl w:val="386284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27294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326"/>
    <w:rsid w:val="00017E0B"/>
    <w:rsid w:val="00021F12"/>
    <w:rsid w:val="00050DD9"/>
    <w:rsid w:val="00053828"/>
    <w:rsid w:val="000755E3"/>
    <w:rsid w:val="0008256D"/>
    <w:rsid w:val="00094BE8"/>
    <w:rsid w:val="00094EFF"/>
    <w:rsid w:val="000B1682"/>
    <w:rsid w:val="000B23C3"/>
    <w:rsid w:val="000E2871"/>
    <w:rsid w:val="000E3C11"/>
    <w:rsid w:val="000F4E9D"/>
    <w:rsid w:val="001036C7"/>
    <w:rsid w:val="00127815"/>
    <w:rsid w:val="00133A34"/>
    <w:rsid w:val="001376B4"/>
    <w:rsid w:val="0014380A"/>
    <w:rsid w:val="001C1680"/>
    <w:rsid w:val="001C43D5"/>
    <w:rsid w:val="001D3062"/>
    <w:rsid w:val="00203192"/>
    <w:rsid w:val="00207C21"/>
    <w:rsid w:val="0021401E"/>
    <w:rsid w:val="0021495F"/>
    <w:rsid w:val="00253CE7"/>
    <w:rsid w:val="00281201"/>
    <w:rsid w:val="00283731"/>
    <w:rsid w:val="00286CAC"/>
    <w:rsid w:val="002A18CE"/>
    <w:rsid w:val="002A7150"/>
    <w:rsid w:val="002B741E"/>
    <w:rsid w:val="002C42F3"/>
    <w:rsid w:val="002C4C01"/>
    <w:rsid w:val="002C65CE"/>
    <w:rsid w:val="002D6CEA"/>
    <w:rsid w:val="002F71E4"/>
    <w:rsid w:val="00304759"/>
    <w:rsid w:val="00304D1B"/>
    <w:rsid w:val="00331EED"/>
    <w:rsid w:val="003342B5"/>
    <w:rsid w:val="0033438E"/>
    <w:rsid w:val="00337BDA"/>
    <w:rsid w:val="003449F3"/>
    <w:rsid w:val="00385D3C"/>
    <w:rsid w:val="00387910"/>
    <w:rsid w:val="003914A6"/>
    <w:rsid w:val="0039368A"/>
    <w:rsid w:val="00395D65"/>
    <w:rsid w:val="003961EF"/>
    <w:rsid w:val="003A2A6E"/>
    <w:rsid w:val="003A7FCA"/>
    <w:rsid w:val="003B3F94"/>
    <w:rsid w:val="003B6DDC"/>
    <w:rsid w:val="003D0797"/>
    <w:rsid w:val="003F64F5"/>
    <w:rsid w:val="004065FE"/>
    <w:rsid w:val="0041166C"/>
    <w:rsid w:val="00420DEF"/>
    <w:rsid w:val="00424E34"/>
    <w:rsid w:val="0045783A"/>
    <w:rsid w:val="00461E41"/>
    <w:rsid w:val="00481052"/>
    <w:rsid w:val="004903D9"/>
    <w:rsid w:val="004C191D"/>
    <w:rsid w:val="004C5566"/>
    <w:rsid w:val="004E7D48"/>
    <w:rsid w:val="00501D7E"/>
    <w:rsid w:val="00504B2A"/>
    <w:rsid w:val="00506759"/>
    <w:rsid w:val="00513ADE"/>
    <w:rsid w:val="005247A3"/>
    <w:rsid w:val="00542E92"/>
    <w:rsid w:val="005461D2"/>
    <w:rsid w:val="00552730"/>
    <w:rsid w:val="00564EDB"/>
    <w:rsid w:val="00566ABF"/>
    <w:rsid w:val="00576CAB"/>
    <w:rsid w:val="00596498"/>
    <w:rsid w:val="005A0BB0"/>
    <w:rsid w:val="005B668F"/>
    <w:rsid w:val="005C2337"/>
    <w:rsid w:val="005C4475"/>
    <w:rsid w:val="00616C17"/>
    <w:rsid w:val="00620DA2"/>
    <w:rsid w:val="00627065"/>
    <w:rsid w:val="00630235"/>
    <w:rsid w:val="00642614"/>
    <w:rsid w:val="00643CFE"/>
    <w:rsid w:val="006623BB"/>
    <w:rsid w:val="00680E0D"/>
    <w:rsid w:val="00684D48"/>
    <w:rsid w:val="0068692C"/>
    <w:rsid w:val="006A334F"/>
    <w:rsid w:val="006A467F"/>
    <w:rsid w:val="006C533F"/>
    <w:rsid w:val="006E6366"/>
    <w:rsid w:val="007136D7"/>
    <w:rsid w:val="0072765F"/>
    <w:rsid w:val="007451FA"/>
    <w:rsid w:val="00754D55"/>
    <w:rsid w:val="007656A4"/>
    <w:rsid w:val="007662EB"/>
    <w:rsid w:val="0079173D"/>
    <w:rsid w:val="007A2FA1"/>
    <w:rsid w:val="007B4D13"/>
    <w:rsid w:val="007C473D"/>
    <w:rsid w:val="007D0B11"/>
    <w:rsid w:val="007E3271"/>
    <w:rsid w:val="007F68CA"/>
    <w:rsid w:val="00815F25"/>
    <w:rsid w:val="00820257"/>
    <w:rsid w:val="00824E46"/>
    <w:rsid w:val="008B44D2"/>
    <w:rsid w:val="008C1A88"/>
    <w:rsid w:val="008D760D"/>
    <w:rsid w:val="008E7A6D"/>
    <w:rsid w:val="00900D66"/>
    <w:rsid w:val="00907417"/>
    <w:rsid w:val="00922FFA"/>
    <w:rsid w:val="00923C58"/>
    <w:rsid w:val="00923F5D"/>
    <w:rsid w:val="00927576"/>
    <w:rsid w:val="0094706F"/>
    <w:rsid w:val="00953326"/>
    <w:rsid w:val="009612D0"/>
    <w:rsid w:val="009613CD"/>
    <w:rsid w:val="00992CAA"/>
    <w:rsid w:val="009A1118"/>
    <w:rsid w:val="009B7422"/>
    <w:rsid w:val="009C2AF9"/>
    <w:rsid w:val="009D1794"/>
    <w:rsid w:val="009D5AD6"/>
    <w:rsid w:val="009F22DD"/>
    <w:rsid w:val="00A04D9E"/>
    <w:rsid w:val="00A647A6"/>
    <w:rsid w:val="00A81C34"/>
    <w:rsid w:val="00A840B9"/>
    <w:rsid w:val="00A920CB"/>
    <w:rsid w:val="00AA73BA"/>
    <w:rsid w:val="00AC71D1"/>
    <w:rsid w:val="00AE5ECE"/>
    <w:rsid w:val="00AF0358"/>
    <w:rsid w:val="00B1527D"/>
    <w:rsid w:val="00B26532"/>
    <w:rsid w:val="00B56A89"/>
    <w:rsid w:val="00B867CC"/>
    <w:rsid w:val="00BC57A3"/>
    <w:rsid w:val="00BD5CCB"/>
    <w:rsid w:val="00BF6361"/>
    <w:rsid w:val="00C21A6D"/>
    <w:rsid w:val="00C4440C"/>
    <w:rsid w:val="00C6758A"/>
    <w:rsid w:val="00C7093F"/>
    <w:rsid w:val="00C9069E"/>
    <w:rsid w:val="00CA5FFE"/>
    <w:rsid w:val="00CA634D"/>
    <w:rsid w:val="00CB49DD"/>
    <w:rsid w:val="00CD61F3"/>
    <w:rsid w:val="00CE096F"/>
    <w:rsid w:val="00CE2249"/>
    <w:rsid w:val="00CF1A8E"/>
    <w:rsid w:val="00D0233C"/>
    <w:rsid w:val="00D31149"/>
    <w:rsid w:val="00D35340"/>
    <w:rsid w:val="00D4054C"/>
    <w:rsid w:val="00D57FF5"/>
    <w:rsid w:val="00D627D7"/>
    <w:rsid w:val="00D712F0"/>
    <w:rsid w:val="00D74ED4"/>
    <w:rsid w:val="00D825FA"/>
    <w:rsid w:val="00D85296"/>
    <w:rsid w:val="00D8681A"/>
    <w:rsid w:val="00D87907"/>
    <w:rsid w:val="00D970DC"/>
    <w:rsid w:val="00DA4EB6"/>
    <w:rsid w:val="00DB4EAF"/>
    <w:rsid w:val="00DC3F92"/>
    <w:rsid w:val="00DD226F"/>
    <w:rsid w:val="00DE4A50"/>
    <w:rsid w:val="00DF19EB"/>
    <w:rsid w:val="00DF50A0"/>
    <w:rsid w:val="00DF5EA9"/>
    <w:rsid w:val="00E27B7F"/>
    <w:rsid w:val="00E64C18"/>
    <w:rsid w:val="00E656D2"/>
    <w:rsid w:val="00E861A7"/>
    <w:rsid w:val="00E958E8"/>
    <w:rsid w:val="00EA4734"/>
    <w:rsid w:val="00EC115F"/>
    <w:rsid w:val="00EC40FA"/>
    <w:rsid w:val="00EE0010"/>
    <w:rsid w:val="00EF5307"/>
    <w:rsid w:val="00F01E49"/>
    <w:rsid w:val="00F23095"/>
    <w:rsid w:val="00F25B57"/>
    <w:rsid w:val="00F65BBF"/>
    <w:rsid w:val="00F70026"/>
    <w:rsid w:val="00F73400"/>
    <w:rsid w:val="00F74DFE"/>
    <w:rsid w:val="00F92A0C"/>
    <w:rsid w:val="00FB0763"/>
    <w:rsid w:val="00FB0B95"/>
    <w:rsid w:val="00FB78F8"/>
    <w:rsid w:val="00FD57D1"/>
    <w:rsid w:val="00FE1673"/>
    <w:rsid w:val="00FE172A"/>
    <w:rsid w:val="00FE62EC"/>
    <w:rsid w:val="00FF2E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8B517"/>
  <w15:chartTrackingRefBased/>
  <w15:docId w15:val="{44ABCDDD-DF87-46DD-ADF4-D956EA231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33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33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33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33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33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33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33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33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33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33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33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33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33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33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33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33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33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3326"/>
    <w:rPr>
      <w:rFonts w:eastAsiaTheme="majorEastAsia" w:cstheme="majorBidi"/>
      <w:color w:val="272727" w:themeColor="text1" w:themeTint="D8"/>
    </w:rPr>
  </w:style>
  <w:style w:type="paragraph" w:styleId="Title">
    <w:name w:val="Title"/>
    <w:basedOn w:val="Normal"/>
    <w:next w:val="Normal"/>
    <w:link w:val="TitleChar"/>
    <w:uiPriority w:val="10"/>
    <w:qFormat/>
    <w:rsid w:val="009533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33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33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33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3326"/>
    <w:pPr>
      <w:spacing w:before="160"/>
      <w:jc w:val="center"/>
    </w:pPr>
    <w:rPr>
      <w:i/>
      <w:iCs/>
      <w:color w:val="404040" w:themeColor="text1" w:themeTint="BF"/>
    </w:rPr>
  </w:style>
  <w:style w:type="character" w:customStyle="1" w:styleId="QuoteChar">
    <w:name w:val="Quote Char"/>
    <w:basedOn w:val="DefaultParagraphFont"/>
    <w:link w:val="Quote"/>
    <w:uiPriority w:val="29"/>
    <w:rsid w:val="00953326"/>
    <w:rPr>
      <w:i/>
      <w:iCs/>
      <w:color w:val="404040" w:themeColor="text1" w:themeTint="BF"/>
    </w:rPr>
  </w:style>
  <w:style w:type="paragraph" w:styleId="ListParagraph">
    <w:name w:val="List Paragraph"/>
    <w:basedOn w:val="Normal"/>
    <w:uiPriority w:val="34"/>
    <w:qFormat/>
    <w:rsid w:val="00953326"/>
    <w:pPr>
      <w:ind w:left="720"/>
      <w:contextualSpacing/>
    </w:pPr>
  </w:style>
  <w:style w:type="character" w:styleId="IntenseEmphasis">
    <w:name w:val="Intense Emphasis"/>
    <w:basedOn w:val="DefaultParagraphFont"/>
    <w:uiPriority w:val="21"/>
    <w:qFormat/>
    <w:rsid w:val="00953326"/>
    <w:rPr>
      <w:i/>
      <w:iCs/>
      <w:color w:val="0F4761" w:themeColor="accent1" w:themeShade="BF"/>
    </w:rPr>
  </w:style>
  <w:style w:type="paragraph" w:styleId="IntenseQuote">
    <w:name w:val="Intense Quote"/>
    <w:basedOn w:val="Normal"/>
    <w:next w:val="Normal"/>
    <w:link w:val="IntenseQuoteChar"/>
    <w:uiPriority w:val="30"/>
    <w:qFormat/>
    <w:rsid w:val="009533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3326"/>
    <w:rPr>
      <w:i/>
      <w:iCs/>
      <w:color w:val="0F4761" w:themeColor="accent1" w:themeShade="BF"/>
    </w:rPr>
  </w:style>
  <w:style w:type="character" w:styleId="IntenseReference">
    <w:name w:val="Intense Reference"/>
    <w:basedOn w:val="DefaultParagraphFont"/>
    <w:uiPriority w:val="32"/>
    <w:qFormat/>
    <w:rsid w:val="00953326"/>
    <w:rPr>
      <w:b/>
      <w:bCs/>
      <w:smallCaps/>
      <w:color w:val="0F4761" w:themeColor="accent1" w:themeShade="BF"/>
      <w:spacing w:val="5"/>
    </w:rPr>
  </w:style>
  <w:style w:type="paragraph" w:styleId="NormalWeb">
    <w:name w:val="Normal (Web)"/>
    <w:basedOn w:val="Normal"/>
    <w:uiPriority w:val="99"/>
    <w:unhideWhenUsed/>
    <w:rsid w:val="00094BE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094BE8"/>
    <w:rPr>
      <w:color w:val="0000FF"/>
      <w:u w:val="single"/>
    </w:rPr>
  </w:style>
  <w:style w:type="paragraph" w:styleId="Header">
    <w:name w:val="header"/>
    <w:basedOn w:val="Normal"/>
    <w:link w:val="HeaderChar"/>
    <w:uiPriority w:val="99"/>
    <w:unhideWhenUsed/>
    <w:rsid w:val="005964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498"/>
  </w:style>
  <w:style w:type="paragraph" w:styleId="Footer">
    <w:name w:val="footer"/>
    <w:basedOn w:val="Normal"/>
    <w:link w:val="FooterChar"/>
    <w:uiPriority w:val="99"/>
    <w:unhideWhenUsed/>
    <w:rsid w:val="005964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498"/>
  </w:style>
  <w:style w:type="character" w:styleId="UnresolvedMention">
    <w:name w:val="Unresolved Mention"/>
    <w:basedOn w:val="DefaultParagraphFont"/>
    <w:uiPriority w:val="99"/>
    <w:semiHidden/>
    <w:unhideWhenUsed/>
    <w:rsid w:val="005964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9-0002-3303-1930" TargetMode="External"/><Relationship Id="rId18" Type="http://schemas.openxmlformats.org/officeDocument/2006/relationships/footer" Target="footer2.xml"/><Relationship Id="rId26" Type="http://schemas.openxmlformats.org/officeDocument/2006/relationships/hyperlink" Target="https://doi.org/10.2214/AJR.17.17915" TargetMode="External"/><Relationship Id="rId39" Type="http://schemas.openxmlformats.org/officeDocument/2006/relationships/hyperlink" Target="https://doi.org/10.1177/0363546515594449" TargetMode="External"/><Relationship Id="rId21" Type="http://schemas.openxmlformats.org/officeDocument/2006/relationships/hyperlink" Target="https://doi.org/10.23750/abm.v92iS3.11766" TargetMode="External"/><Relationship Id="rId34" Type="http://schemas.openxmlformats.org/officeDocument/2006/relationships/hyperlink" Target="https://doi.org/10.1302/0301-620X.72B1.2298776" TargetMode="Externa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image" Target="media/image20.png"/><Relationship Id="rId29" Type="http://schemas.openxmlformats.org/officeDocument/2006/relationships/hyperlink" Target="https://doi.org/10.1177/0363546518762386" TargetMode="External"/><Relationship Id="rId41" Type="http://schemas.openxmlformats.org/officeDocument/2006/relationships/hyperlink" Target="https://doi.org/10.1016/j.jse.2014.01.04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rcid.org/0000-0001-8125-2813" TargetMode="External"/><Relationship Id="rId24" Type="http://schemas.openxmlformats.org/officeDocument/2006/relationships/hyperlink" Target="https://doi.org/10.1016/j.jcot.2021.05.019" TargetMode="External"/><Relationship Id="rId32" Type="http://schemas.openxmlformats.org/officeDocument/2006/relationships/hyperlink" Target="https://doi.org/10.1016/j.arthro.2011.06.010" TargetMode="External"/><Relationship Id="rId37" Type="http://schemas.openxmlformats.org/officeDocument/2006/relationships/hyperlink" Target="https://doi.org/10.1007/s00167-017-4608-5" TargetMode="External"/><Relationship Id="rId40" Type="http://schemas.openxmlformats.org/officeDocument/2006/relationships/hyperlink" Target="https://doi.org/10.1177/0363546518810763" TargetMode="Externa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hyperlink" Target="https://doi.org/10.1186/s13018-017-0643-7" TargetMode="External"/><Relationship Id="rId28" Type="http://schemas.openxmlformats.org/officeDocument/2006/relationships/hyperlink" Target="https://doi.org/10.3389/fsurg.2024.1456540" TargetMode="External"/><Relationship Id="rId36" Type="http://schemas.openxmlformats.org/officeDocument/2006/relationships/hyperlink" Target="https://doi.org/10.1007/s11999-015-4630-1" TargetMode="External"/><Relationship Id="rId10" Type="http://schemas.openxmlformats.org/officeDocument/2006/relationships/hyperlink" Target="https://orcid.org/0000-0003-0958-9483" TargetMode="External"/><Relationship Id="rId19" Type="http://schemas.openxmlformats.org/officeDocument/2006/relationships/customXml" Target="ink/ink1.xml"/><Relationship Id="rId31" Type="http://schemas.openxmlformats.org/officeDocument/2006/relationships/hyperlink" Target="https://doi.org/10.1016/j.ijpharm.2018.01.006" TargetMode="External"/><Relationship Id="rId4" Type="http://schemas.openxmlformats.org/officeDocument/2006/relationships/webSettings" Target="webSettings.xml"/><Relationship Id="rId9" Type="http://schemas.openxmlformats.org/officeDocument/2006/relationships/hyperlink" Target="https://orcid.org/0009-0009-5336-3781" TargetMode="External"/><Relationship Id="rId14" Type="http://schemas.openxmlformats.org/officeDocument/2006/relationships/hyperlink" Target="https://orcid.org/0009-0009-1039-3606" TargetMode="External"/><Relationship Id="rId22" Type="http://schemas.openxmlformats.org/officeDocument/2006/relationships/hyperlink" Target="https://doi.org/10.1016/j.arthro.2015.06.038" TargetMode="External"/><Relationship Id="rId27" Type="http://schemas.openxmlformats.org/officeDocument/2006/relationships/hyperlink" Target="https://doi.org/10.1186/s12891-021-04634-6" TargetMode="External"/><Relationship Id="rId30" Type="http://schemas.openxmlformats.org/officeDocument/2006/relationships/hyperlink" Target="https://doi.org/10.1016/j.arthro.2021.03.010" TargetMode="External"/><Relationship Id="rId35" Type="http://schemas.openxmlformats.org/officeDocument/2006/relationships/hyperlink" Target="https://doi.org/10.1097/00003086-199005000-00012" TargetMode="External"/><Relationship Id="rId43" Type="http://schemas.openxmlformats.org/officeDocument/2006/relationships/theme" Target="theme/theme1.xml"/><Relationship Id="rId8" Type="http://schemas.openxmlformats.org/officeDocument/2006/relationships/hyperlink" Target="https://orcid.org/0009-0002-5580-7533" TargetMode="External"/><Relationship Id="rId3" Type="http://schemas.openxmlformats.org/officeDocument/2006/relationships/settings" Target="settings.xml"/><Relationship Id="rId12" Type="http://schemas.openxmlformats.org/officeDocument/2006/relationships/hyperlink" Target="https://orcid.org/0009-0004-3695-7354" TargetMode="External"/><Relationship Id="rId17" Type="http://schemas.openxmlformats.org/officeDocument/2006/relationships/header" Target="header2.xml"/><Relationship Id="rId25" Type="http://schemas.openxmlformats.org/officeDocument/2006/relationships/hyperlink" Target="https://doi.org/10.2106/JBJS.F.00512" TargetMode="External"/><Relationship Id="rId33" Type="http://schemas.openxmlformats.org/officeDocument/2006/relationships/hyperlink" Target="https://doi.org/10.1038/s41598-020-74341-0" TargetMode="External"/><Relationship Id="rId38" Type="http://schemas.openxmlformats.org/officeDocument/2006/relationships/hyperlink" Target="https://doi.org/10.1016/S0895-4356(96)00236-3"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creativecommons.org/publicdomain/zero/1.0/" TargetMode="External"/><Relationship Id="rId2" Type="http://schemas.openxmlformats.org/officeDocument/2006/relationships/hyperlink" Target="http://creativecommons.org/licenses/by/4.0/" TargetMode="External"/><Relationship Id="rId1" Type="http://schemas.openxmlformats.org/officeDocument/2006/relationships/hyperlink" Target="mailto:ngmanhkhanh@gmail.com"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s://doi.org/10.38029/babcockuniv.med.j..v9iS1.1603" TargetMode="External"/><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5-21T21:05:34.129"/>
    </inkml:context>
    <inkml:brush xml:id="br0">
      <inkml:brushProperty name="width" value="0.035" units="cm"/>
      <inkml:brushProperty name="height" value="0.035" units="cm"/>
    </inkml:brush>
  </inkml:definitions>
  <inkml:trace contextRef="#ctx0" brushRef="#br0">1 0 21495 0 0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4770</Words>
  <Characters>27190</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Olumide Abiodun</dc:creator>
  <cp:keywords/>
  <dc:description/>
  <cp:lastModifiedBy>HomePC</cp:lastModifiedBy>
  <cp:revision>15</cp:revision>
  <dcterms:created xsi:type="dcterms:W3CDTF">2026-07-22T07:35:00Z</dcterms:created>
  <dcterms:modified xsi:type="dcterms:W3CDTF">2026-07-22T08:08:00Z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b52a8536-2773-4059-9d05-92d8525a69db</vt:lpwstr>
  </property>
</Properties>
</file>